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JTAPI/1457/2022 vom 30. Dezember 2022</w:t>
      </w:r>
    </w:p>
    <w:p>
      <w:r>
        <w:t>GE Cour de justice, 2022-12-30, FR</w:t>
      </w:r>
    </w:p>
    <w:p>
      <w:r>
        <w:rPr>
          <w:b/>
        </w:rPr>
        <w:t xml:space="preserve">Quelle: </w:t>
      </w:r>
      <w:r>
        <w:t>https://mcp.opencaselaw.ch/entscheid/ge_gerichte_JTAPI_1457_2022</w:t>
      </w:r>
    </w:p>
    <w:p>
      <w:r>
        <w:t>FR: GE_GERICHTE JTAPI/1457/2022 du 30 décembre 2022</w:t>
      </w:r>
    </w:p>
    <w:p>
      <w:r>
        <w:t>IT: GE_GERICHTE JTAPI/1457/2022 del 30 dicembre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29 décembre 2022 à 14h15.</w:t>
      </w:r>
    </w:p>
    <w:p>
      <w:r>
        <w:rPr>
          <w:b/>
        </w:rPr>
        <w:t>E. 3</w:t>
      </w:r>
    </w:p>
    <w:p>
      <w:r>
        <w:t>Après notification d'une décision de première instance de renvoi ou d'une décision de première instance d'expulsion au sens des art. 66a ou 66abis CP, l'autorité compétente peut, afin d'en assurer l'exécution, mettre en détention la personne concernée notamment si des éléments concrets font craindre qu'elle entende se soustraire au renvoi ou à l'expulsion, en particulier parce qu'elle ne se soumet pas à son obligation de collaborer en vertu de l'art. 90 LEI (art. 76 al. 1 let. b ch. 3 LEI) ou si son comportement permet de conclure qu'elle se refuse à obtempérer aux instructions des autorités (art. 76 al. 1 let. b ch. 4 LEI). À teneur de l'art. 76 al. 1 let. b ch. 1 LEI (cum art. 75 al. 1 let. c, g et h LEI), l'autorité compétente peut également mettre en détention la personne concernée si elle a franchi la frontière malgré une interdiction d’entrer en Suisse et n'a pu être renvoyée immédiatement, elle menace sérieusement d’autres personnes ou met gravement en danger leur vie ou leur intégrité corporelle et fait l’objet d’une poursuite pénale ou a été condamnée pour ce motif ou si elle a été condamnée pour crime. Il découle de la jurisprudence qu'une décision d'expulsion pénale au sens des art. 66a ou 66abis CP vaut comme interdiction d'entrée pour la durée prononcée par le juge pénal (ATA/730/2021 du 8 juillet 2021 consid. 4 ; ATA/179/2018 du 27 février 2018 consid. 4).</w:t>
      </w:r>
    </w:p>
    <w:p>
      <w:r>
        <w:t>- 7/11 - A/4391/2022</w:t>
      </w:r>
    </w:p>
    <w:p>
      <w:r>
        <w:rPr>
          <w:b/>
        </w:rPr>
        <w:t>E. 4</w:t>
      </w:r>
    </w:p>
    <w:p>
      <w:r>
        <w:t>De jurisprudence constante, la participation à un trafic de stupéfiants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5</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- 8/11 - A/4391/2022 En outre, la durée de la détention administrative doit respecter le principe de la proportionnalité (ATF 125 I 474 consid. 3 et les arrêts cités ; arrêt du Tribunal fédéral 1P.269/2001 du 7 juin 2001 consid. 2c).</w:t>
      </w:r>
    </w:p>
    <w:p>
      <w:r>
        <w:rPr>
          <w:b/>
        </w:rPr>
        <w:t>E. 7</w:t>
      </w:r>
    </w:p>
    <w:p>
      <w:r>
        <w:t>En l’espèce, M. A______ fait l’objet de deux décisions d’expulsion judiciaire de Suisse, la première prononcée le 10 octobre 2017 et valable pour une durée de cinq ans et la seconde prononcée le 15 septembre 2021 et valable pour une durée de vingt ans, décisions qu’il n’a jamais respectées. Il a été condamné à deux reprises pour infraction grave à la LStup, infraction constitutive de crime au sens de l’art. 10 al. 2 CP. Par ailleurs, le trafic de cocaïne, qui est une drogue dure, constitue une menace sérieuse pour d’autres personnes et un danger pour leur vie ou leur intégrité corporelle. Démuni de toute source de revenu, il n’est pas exclu qu’il poursuive son trafic de stupéfiants s’il était remis en liberté. M. A______ n’a par ailleurs pas respecté l’expulsion judiciaire dont il a fait l’objet le 10 octobre 2017 puisqu’il a déclaré, lors de son audition par la police le 5 janvier 2021, s’être rendu en France et y être revenu pendant la période prohibée. Au vu de ce qui précède, la détention administrative de M. A______ est ainsi justifiée sur la base des art. 76 al. 1 let. b ch. 1 LEI renvoyant à l’art. 75 al. 1 let. c, g et h LEI et il n’est pas nécessaire d’analyser si elle pourrait également être fondée sur l’art. 76 al. 1 let. b ch. 3 et 4 LEI comme retenu par le commissaire de police. L’assurance de son départ de Suisse répond en outre à un intérêt public certain et toute autre mesure moins incisive que la détention administrative serait vaine pour assurer sa présence au moment où M. A______ devra monter dans l’avion devant le reconduire dans son pays d’origine, étant relevé que l’intéressé n’a ni résidence fixe ni source légale de revenu en Suisse et que les autorités suisses doivent s'assurer du fait qu'il quittera effectivement le territoire (cf. not. art. 8 par. 6 de la Directive sur le retour et 15f de l'ordonnance sur l'exécution du renvoi et de l'expulsion d'étrangers du 11 août 1999 - OERE - RS 142.281). Elles ne peuvent notamment autoriser M. A______ à se rendre en France alors qu’il ne bénéficie pas des autorisations nécessaires pour y demeurer, ce que ce dernier reconnait parfaitement. Dès lors, une assignation à résidence n’est pas envisageable car le risque que l’intéressé reparte clandestinement en France rejoindre son amie et leur faille - ce qui est son souhait comme il l’a encore indiqué ce jour à l’audience - et donc qu’il ne respecte pas cette assignation – étant rappelé que M. A______ est peu enclin à se soumettre aux décisions qui sont rendues à son encontre - est élevé et ne peut être pris.</w:t>
      </w:r>
    </w:p>
    <w:p>
      <w:r>
        <w:t>- 9/11 - A/4391/2022 Le tribunal relèvera par ailleurs que l’effet suspensif restitué aux deux recours pendant devant le Tribunal fédéral par les deux décisions du 9 décembre 2022 n’empêche pas le prononcé d’une détention administrative, si les conditions en sont remplies, comme l’a retenu le Tribunal fédéral dans ses considérants.</w:t>
      </w:r>
    </w:p>
    <w:p>
      <w:r>
        <w:rPr>
          <w:b/>
        </w:rPr>
        <w:t>E. 8</w:t>
      </w:r>
    </w:p>
    <w:p>
      <w:r>
        <w:t>Les démarches nécessaires à l'exécution du renvoi ou de l'expulsion doivent être entreprises sans tarder (art. 76 al. 4 LEI ; « principe de célérité ou de diligence »).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Concernant les démarches entreprises, il apparait que l’identité et la nationalité de l’intéressé, malgré le fait qu’il ait été reconnu par les autorités nigérianes comme étant M. A______, ressortissant de ce pays, soient contestées. Il ressort des pièces produites que deux recours sont actuellement pendanst devant le Tribunal fédéral concernant deux décisions de non-report de l’expulsion judiciaire et une devant le Tribunal administratif fédéral à propos de modifications dans la fiche SYMIC de données concernant l’intéressé effectuées par le SEM. Les autorités genevoises ont pour leur part entrepris toutes les démarches nécessaires à ce stade et sont maintenant dans l’attente de l’issue des procédures actuellement en cours devant les instances fédérales. Une fois celles-ci connues, elles pourront entreprendre les nouvelles démarches utiles. Elles ont ainsi agi avec diligence et célérité.</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En outre, la durée de la détention administrative doit respecter le principe de la proportionnalité (ATF 125 I 474 consid. 3 et les arrêts cités ; arrêt du Tribunal fédéral 1P.269/2001 du 7 juin 2001 consid. 2c).</w:t>
      </w:r>
    </w:p>
    <w:p>
      <w:r>
        <w:rPr>
          <w:b/>
        </w:rPr>
        <w:t>E. 12</w:t>
      </w:r>
    </w:p>
    <w:p>
      <w:r>
        <w:t>En l’espèce, le tribunal estime qu’une détention pour une durée de six mois, durée maximale autorisée, est disproportionnée eu égard au fait que suivant l’issue des procédures devant les instances fédérales, la situation de M. A______ pourrait subir de grandes modifications. La durée de la détention sera dès lors réduite à trois mois, soit jusqu’au 28 mars 2023.</w:t>
      </w:r>
    </w:p>
    <w:p>
      <w:r>
        <w:rPr>
          <w:b/>
        </w:rPr>
        <w:t>E. 13</w:t>
      </w:r>
    </w:p>
    <w:p>
      <w:r>
        <w:t>Au vu de ce qui précède, il y a lieu de confirmer l'ordre de mise en détention administrative de M. A______ mais pour une durée de trois mois.</w:t>
      </w:r>
    </w:p>
    <w:p>
      <w:r>
        <w:t>- 10/11 - A/4391/2022</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A/4391/2022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