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JTAPI/1445/2022 vom 22. Dezember 2022</w:t>
      </w:r>
    </w:p>
    <w:p>
      <w:r>
        <w:t>GE Cour de justice, 2022-12-22, FR</w:t>
      </w:r>
    </w:p>
    <w:p>
      <w:r>
        <w:rPr>
          <w:b/>
        </w:rPr>
        <w:t xml:space="preserve">Quelle: </w:t>
      </w:r>
      <w:r>
        <w:t>https://mcp.opencaselaw.ch/entscheid/ge_gerichte_JTAPI_1445_2022</w:t>
      </w:r>
    </w:p>
    <w:p>
      <w:r>
        <w:t>FR: GE_GERICHTE JTAPI/1445/2022 du 22 décembre 2022</w:t>
      </w:r>
    </w:p>
    <w:p>
      <w:r>
        <w:t>IT: GE_GERICHTE JTAPI/1445/2022 del 22 dicembre 2022</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4</w:t>
      </w:r>
    </w:p>
    <w:p>
      <w:r>
        <w:t>Les arguments formulés par les parties à l’appui de leurs conclusions respectives seront repris et discutés dans la mesure utile (cf. arrêt du Tribunal fédéral 2C_831/ 2019 du 8 juin 2020 consid. 2.1 et les références citées), étant rappelé que, saisi d’un recours, le tribunal applique le droit d’office et que s’il ne peut pas aller au- delà des conclusions des parties, il n’est lié ni par les motifs invoqués par celles-ci</w:t>
      </w:r>
    </w:p>
    <w:p>
      <w:r>
        <w:t>- 11/17 - A/71/2022 (art. 69 al. 1 LPA), ni par leur argumentation juridique (ATA/1024/2020 du 13 octobre 2020 consid. 1 ; ATA/322/2019 du 26 mars 2019 consid. 3).</w:t>
      </w:r>
    </w:p>
    <w:p>
      <w:r>
        <w:rPr>
          <w:b/>
        </w:rPr>
        <w:t>E. 5</w:t>
      </w:r>
    </w:p>
    <w:p>
      <w:r>
        <w:t>À titre préalable, le tribunal entend confirmer, ainsi que l’ont reconnu les parties, que l’ordre d’évacuation des éléments mentionnés dans la décision litigieuse est une mesure d’exécution et qu’il ne peut donc pas être contesté (art. 59 let. b LPA).</w:t>
      </w:r>
    </w:p>
    <w:p>
      <w:r>
        <w:rPr>
          <w:b/>
        </w:rPr>
        <w:t>E. 6</w:t>
      </w:r>
    </w:p>
    <w:p>
      <w:r>
        <w:t>Dans un premier grief, le recourant conteste la décision litigieuse dans la mesure où elle fixe un délai de nonante jours pour exécuter les travaux de mise en conformité. Le délai serait, d’une part, contraire à celui résultant de l’art. 4 al. 5 LCI s’agissant des travaux liés aux autorisations de construire délivrées en 2021 et, d’autre part, trop court compte tenu de la période hivernale où ils devraient avoir lieu et des difficultés pour obtenir le matériel nécessaire. Il sous-entend aussi qu’un tel délai serait irréaliste compte tenu que certains objets à évacuer appartenaient au locataire.</w:t>
      </w:r>
    </w:p>
    <w:p>
      <w:r>
        <w:rPr>
          <w:b/>
        </w:rPr>
        <w:t>E. 6.2</w:t>
      </w:r>
    </w:p>
    <w:p>
      <w:r>
        <w:t>; 1C_250/2009 du 13 juillet 2009 consid. 4.2).</w:t>
      </w:r>
    </w:p>
    <w:p>
      <w:r>
        <w:t>- 13/17 - A/71/2022</w:t>
      </w:r>
    </w:p>
    <w:p>
      <w:r>
        <w:rPr>
          <w:b/>
        </w:rPr>
        <w:t>E. 7</w:t>
      </w:r>
    </w:p>
    <w:p>
      <w:r>
        <w:t>Conformément à l’art. 129 let. e LCI, le département peut ordonner, à l’égard des constructions, des installations ou d’autres choses, la remise en état, la réparation, la modification, la suppression ou la démolition. Ces mesures peuvent être ordonnées lorsque l’état d’une construction, d’une installation ou d’une autre chose n’est pas conforme aux prescriptions de la LCI, des règlements qu’elle prévoit ou des autorisations délivrées en application de ces dispositions légales ou réglementaires (art. 130 LCI).</w:t>
      </w:r>
    </w:p>
    <w:p>
      <w:r>
        <w:rPr>
          <w:b/>
        </w:rPr>
        <w:t>E. 8</w:t>
      </w:r>
    </w:p>
    <w:p>
      <w:r>
        <w:t>Les propriétaires ou leurs mandataires, les entrepreneurs et les usagers sont tenus de se conformer aux mesures ordonnées par le département en application des art. 129 et 130 LCI (art. 131 LCI). Le département notifie aux intéressés, par lettre recommandée, les mesures qu’il ordonne. Il fixe un délai pour leur exécution, à moins qu’il n’invoque l’urgence (art. 132 al. 1 LCI).</w:t>
      </w:r>
    </w:p>
    <w:p>
      <w:r>
        <w:rPr>
          <w:b/>
        </w:rPr>
        <w:t>E. 9</w:t>
      </w:r>
    </w:p>
    <w:p>
      <w:r>
        <w:t>L’art. 129 let. e LCI reconnaît une certaine marge d’appréciation à l’autorité dans le choix de la mesure adéquate pour rétablir une situation conforme au droit, dont elle doit faire usage dans le respect des principes de la proportionnalité, de l’égalité de traitement et de la bonne foi, et en tenant compte des divers intérêts publics et privés en présence (ATA/1399/2019 du 17 septembre 2019 consid. 3c ; ATA/336/2011 du 24 mai 2011 consid. 3b). Elle peut renoncer à un ordre de démolition, conformément au principe de la proportionnalité,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(cf. ATF 132 II 21 consid. 6 ; arrêts du Tribunal fédéral 1C_60/2021 du 27 juillet 2021 consid. 3.1 ; 1C_569/2020 du 25 février 2021 consid. 2.4 ; 1C_341/2019 du 24 août 2020 consid. 6.1 ; cf. aussi ATA/1399/2019 du 17 septembre 2019 consid. 3c).</w:t>
      </w:r>
    </w:p>
    <w:p>
      <w:r>
        <w:t>- 12/17 - A/71/2022</w:t>
      </w:r>
    </w:p>
    <w:p>
      <w:r>
        <w:rPr>
          <w:b/>
        </w:rPr>
        <w:t>E. 10</w:t>
      </w:r>
    </w:p>
    <w:p>
      <w:r>
        <w:t>Selon la jurisprudence du tribunal de céans, un délai de nonante jours est usuel et donc adapté pour exiger la mise en conformité d’une situation illégale (cf. JTAPI/562/2021 du 3 juin 2021 consid. 13).</w:t>
      </w:r>
    </w:p>
    <w:p>
      <w:r>
        <w:rPr>
          <w:b/>
        </w:rPr>
        <w:t>E. 11</w:t>
      </w:r>
    </w:p>
    <w:p>
      <w:r>
        <w:t>Valant pour l’ensemble de l’activité étatique, le principe de la bonne foi, exprimé aux art. 9 et 5 al. 3 de la Constitution fédérale de la Confédération suisse du 18 avril 1999 (Cst. - RS 101), commande aux autorités comme aux particuliers de s’abstenir, dans les relations de droit public, de tout comportement contradictoire ou abusif (ATF 137 II 182 consid. 3.6.2 ; arrêt du Tribunal fédéral 1C_495/2013 du 7 janvier 2014 consid. 5). Il en découle que l’administration et les administrés doivent se comporter réciproquement de manière loyale (ATF 131 II 627 consid. 6.1). En particulier, l’administration doit s’abstenir de toute attitude propre à tromper l’administré et ne saurait tirer aucun avantage des conséquences d’une incorrection ou insuffisance de sa part (ATF 129 I 161 consid. 4 p. 170 ; 129 II 361 consid. 7.1). Les décisions de l’administration ainsi que les déclarations et comportements des parties à un rapport de droit public sont en outre soumises au principe de la confiance. Leur sens doit rester conforme à ce que le destinataire a été en mesure de comprendre – ce qu’il pouvait et devait raisonnablement comprendre – selon le texte, sa motivation et, plus largement, l’ensemble des circonstances qui ont entouré leur élaboration, dont par exemple la correspondance échangée ; cependant le principe de confiance crée une obligation réciproque. Ainsi, une attention adéquate peut être exigée de l’administré (ATF 115 II 415 consid. 3a ; 107 Ia 193 consid. 3c).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w:t>
      </w:r>
    </w:p>
    <w:p>
      <w:r>
        <w:rPr>
          <w:b/>
        </w:rPr>
        <w:t>E. 12</w:t>
      </w:r>
    </w:p>
    <w:p>
      <w:r>
        <w:t>Même si la bonne foi du constructeur peut être reconnue, elle ne saurait le prémunir contre l’intervention de l’autorité de surveillance destinée à rétablir une situation conforme au droit, lorsque cette intervention respecte le principe de la proportionnalité (arrêts du Tribunal fédéral 1C_162/2014 du 20 juin 2014 consid.</w:t>
      </w:r>
    </w:p>
    <w:p>
      <w:r>
        <w:rPr>
          <w:b/>
        </w:rPr>
        <w:t>E. 13</w:t>
      </w:r>
    </w:p>
    <w:p>
      <w:r>
        <w:t>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(ATA/24/2022 du 11 janvier 2022 consid. 8a).</w:t>
      </w:r>
    </w:p>
    <w:p>
      <w:r>
        <w:rPr>
          <w:b/>
        </w:rPr>
        <w:t>E. 14</w:t>
      </w:r>
    </w:p>
    <w:p>
      <w:r>
        <w:t>En l’espèce, le délai de nonante jours imparti au recourant pour réaliser la mise en conformité de la situation correspond aux délais ordinaires accordés dans le cadre de décisions de mise en conformité. Un tel délai n’est en outre nullement inadapté si l’on considère que les éléments en cause devaient être évacués depuis plus de dix ans, conformément à la décision du 10 octobre 2008 et au rappel du 28 janvier 2010. Certes, le recourant a effectué des démarches pour s’y conformer, mais celles-ci ne peuvent être considérées comme suffisantes pour justifier que le délai imparti aurait dû être plus long. Ainsi, s’il a résilié le contrat de bail du locataire puis conclu un nouveau contrat stipulant que ce dernier devait respecter les normes de la zone agricole, il n’a cependant entrepris aucune démarche par la suite pour que ledit locataire évacue les objets lui appartenant, n’entreprenant des actions qu’en février 2021, suite à la décision du 18 décembre 2020. Il ne peut donc décemment prétendre d’obtenir un délai plus long que celui usuellement imparti alors qu’il devait se conformer à une décision rendue depuis plus de dix ans et qu’il n’a pas agi pendant plusieurs années alors qu’il aurait amplement eu le temps de le faire. À cet égard, son allégation qu’au fait qu’un inspecteur aurait visité à réitérées reprises la parcelle sans rien exiger de sa part ne peut être retenue, celle-ci étant contestée par le département et nullement étayée par le recourant ; cet élément permet également d’écarter l’hypothèse que le recourant aurait admis, de bonne foi, que le département avait renoncé à l’ordre de remise en l’état. Dans ces</w:t>
      </w:r>
    </w:p>
    <w:p>
      <w:r>
        <w:t>- 14/17 - A/71/2022 circonstances, il ne peut également pas être admis que le délai de nonante jours serait irréaliste du fait que certains objets à évacuer appartenaient au locataire et qu’il ne pouvait les enlever, étant d’ailleurs relevé que la liste des éléments à évacuer a déjà été fixée en octobre 2008 et qu’elle est en force, de sorte qu’il ne peut plus être revenu dessus. Enfin, le recourant semble confondre la notion de validité de l’autorisation de construire DD 7______ qui lui a été délivrée, laquelle, conformément à l’art. 4 al. 2 LCI, doit être mise en œuvre dans le délai de deux ans, et le délai d’exécution de nonante jours qui lui a été imposé pour rétablir une situation conforme au droit en procédant à une mise en conformité des lieux. Ainsi, s’il est correct, comme le soutient le recourant, que cette autorisation de construire n’est pas en lien avec l’infraction I-3______ (elle ne s’y réfère pas et ne concerne pas les clôtures déjà présentes sur la parcelle), la décision entreprise ne requiert pas qu’elle soit réalisée dans les nonante jours. En effet, cette décision requiert que le recourant rende « l’ensemble des clôtures conforme à l’autorisation DD 7______ », ce qui signifie que les clôtures situées sur la parcelle doivent correspondre à celles autorisées, ou, en d’autres termes, que seules y subsistent les clôtures autorisées. Ainsi, il lui est ordonné d’enlever les clôtures non autorisées, mais il ne lui est pas fait obligation d’ériger celles autorisés. Ce grief sera par conséquent écarté.</w:t>
      </w:r>
    </w:p>
    <w:p>
      <w:r>
        <w:rPr>
          <w:b/>
        </w:rPr>
        <w:t>E. 15</w:t>
      </w:r>
    </w:p>
    <w:p>
      <w:r>
        <w:t>Le recourant conteste également l’amende infligée, qu’il estime infondée dès lors qu’aucune faute ne pouvait être retenue à son encontre vu qu’il avait entrepris ce qui pouvait être exigé de lui pour se conformer aux requêtes du département.</w:t>
      </w:r>
    </w:p>
    <w:p>
      <w:r>
        <w:rPr>
          <w:b/>
        </w:rPr>
        <w:t>E. 16</w:t>
      </w:r>
    </w:p>
    <w:p>
      <w:r>
        <w:t>Est passible d’une amende administrative de CHF 100.- à CHF 150’000.- tout contrevenant à la LCI, à ses règlements d’application ainsi qu’aux ordres du département (art. 137 al. 1 LCI). Toutefois, lorsqu’une construction, une installation ou tout autre ouvrage a été entrepris sans autorisation, mais que les travaux sont conformes aux prescriptions légales, le montant maximum de l’amende est de CHF 20’000.- (art. 137 al. 2 LCI). Il est tenu compte, dans la fixation du montant de l’amende, du degré de gravité de l’infraction (art. 137 al. 3 LCI). Constituent notamment des circonstances aggravantes la violation de la loi par cupidité, les cas de récidive et l’établissement, par le mandataire professionnellement qualifié ou le requérant, d’une attestation au sens de l’art. 7 LCI non conforme à la réalité (art. 137 al. 3 LCI). La poursuite et la sanction administrative se prescrivent par sept ans (art. 137 al. 5 LCI).</w:t>
      </w:r>
    </w:p>
    <w:p>
      <w:r>
        <w:rPr>
          <w:b/>
        </w:rPr>
        <w:t>E. 17</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w:t>
      </w:r>
    </w:p>
    <w:p>
      <w:r>
        <w:t>- 15/17 - A/71/2022 être fixée en tenant compte des principes généraux régissant le droit pénal (ATA/440/2019 du 16 avril 2019). En vertu de l’art. 1 al.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précité et les références citées).</w:t>
      </w:r>
    </w:p>
    <w:p>
      <w:r>
        <w:rPr>
          <w:b/>
        </w:rPr>
        <w:t>E. 18</w:t>
      </w:r>
    </w:p>
    <w:p>
      <w:r>
        <w:t>En droit public, les autorités de recours examinent la question de la prescription d’office lorsqu’un particulier est débiteur de l’État (ATF 138 II 169 consid. 3.2). Tel est le cas en matière d’amendes administratives (ATA/92/2021 du 26 janvier 2021 consid. 4 et les références citées).</w:t>
      </w:r>
    </w:p>
    <w:p>
      <w:r>
        <w:rPr>
          <w:b/>
        </w:rPr>
        <w:t>E. 19</w:t>
      </w:r>
    </w:p>
    <w:p>
      <w:r>
        <w:t>Selon l’art. 104 CP, les dispositions de la première partie du code s’appliquent aux contraventions, c’est-à-dire les infractions passibles d’une amende (art. 103 CP), y compris les art. 97 ss CP en matière de prescription, sous réserve des dispositions spécifiques comme l’art. 109 CP, qui prévoit que l’action pénale et la peine se prescrivent par trois ans. Le CP distingue deux types de prescription : d’une part la prescription de l’action pénale (art. 97 et 98 CP), qui éteint le droit de poursuite, lorsque celui-ci n’a pas été exercé ou n’a pas été exercé jusqu’au bout, avant l’expiration d’un certain délai ; d’autre part, la prescription de la peine (art. 99 et 100 CP), qui exclut l’exécution d’une peine entrée en force, faisant ainsi perdre à l’État son droit d’exécuter la peine prononcée par un jugement entré en force mais resté sans exécution pendant un certain laps de temps (José HURTADO POZO, Droit pénal général, 2e édition, 2013, n. 1023 p. 368). Selon l’art. 98 CP, la prescription de l’action pénale court dès le jour où l’auteur a exercé son activité coupable (let. a), dès le jour du dernier acte si cette activité s’est exercée à plusieurs reprises (let. b) ou dès le jour où les agissements coupables ont cessé s’ils ont eu une certaine durée (let. c). Quant à la prescription de la peine, elle court du jour où la condamnation à l’amende devient exécutoire (art. 100 CP), ce moment étant déterminé par le droit de procédure applicable (arrêts du Tribunal fédéral 6B_366/2012 du 17 octobre 2012 consid. 1.2 et 6B_ 1099/2010 du 28 mars 2011 consid. 2.2). Selon la jurisprudence, l’inobservation de dispositions analogues en matière de droit des constructions ne constitue pas un délit continu, car l’absence de remise des lieux en un état conforme à l’ordre légal ne fait pas partie des éléments constitutifs de la norme. La prescription court ainsi dès que les actes interdits par la loi ont été entièrement exécutés (ATA/92/2021 du 26 janvier 2021 consid. 4c).</w:t>
      </w:r>
    </w:p>
    <w:p>
      <w:r>
        <w:t>- 16/17 - A/71/2022</w:t>
      </w:r>
    </w:p>
    <w:p>
      <w:r>
        <w:rPr>
          <w:b/>
        </w:rPr>
        <w:t>E. 20</w:t>
      </w:r>
    </w:p>
    <w:p>
      <w:r>
        <w:t>En l’occurrence, le tribunal examine d’office la question de la prescription de l’amende administrative en cause. Les aménagements, constructions et installations édifiés sans aucune autorisation sur la parcelle ayant conduit au prononcé de l’amende ont été constatés le 21 mai 2008, ce qui implique d’ailleurs qu’ils avaient été réalisés à une date antérieure. Conformément à la jurisprudence précitée, la prescription commençant à courir dès que les actes interdits par la loi ont été entièrement exécutés, pour une durée de sept ans, la poursuite de l’infraction en cause était prescrite lors du prononcé de l’amende le 10 décembre 2021. Partant, l’amende contestée doit être annulée.</w:t>
      </w:r>
    </w:p>
    <w:p>
      <w:r>
        <w:rPr>
          <w:b/>
        </w:rPr>
        <w:t>E. 21</w:t>
      </w:r>
    </w:p>
    <w:p>
      <w:r>
        <w:t>Au vu de ce qui précède, le recours sera partiellement admis.</w:t>
      </w:r>
    </w:p>
    <w:p>
      <w:r>
        <w:rPr>
          <w:b/>
        </w:rPr>
        <w:t>E. 22</w:t>
      </w:r>
    </w:p>
    <w:p>
      <w:r>
        <w:t>En application des art. 87 al. 1 LPA et 1 et 2 du règlement sur les frais, émoluments et indemnités en procédure administrative du 30 juillet 1986 (RFPA - E 5 10.03), le recourant, qui obtient partiellement gain de cause, est condamné au paiement d’un émolument réduit s’élevant à CHF 800.- ; il est couvert par l’avance de frais versée à la suite du dépôt du recours. Le solde de l’avance de frais de CHF 100.- lui sera restitué. Vu l’issue du litige, une indemnité de procédure réduite de CHF 500.- sera allouée au recourant, à charge de l’État de Genève, soit pour lui le département du territoire (art. 87 al. 2 LPA).</w:t>
      </w:r>
    </w:p>
    <w:p>
      <w:r>
        <w:t>- 17/17 - A/71/2022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