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JTAPI/142/2022 vom 21. Februar 2022</w:t>
      </w:r>
    </w:p>
    <w:p>
      <w:r>
        <w:t>GE Cour de justice, 2022-02-21, FR</w:t>
      </w:r>
    </w:p>
    <w:p>
      <w:r>
        <w:rPr>
          <w:b/>
        </w:rPr>
        <w:t xml:space="preserve">Quelle: </w:t>
      </w:r>
      <w:r>
        <w:t>https://mcp.opencaselaw.ch/entscheid/ge_gerichte_JTAPI_142_2022</w:t>
      </w:r>
    </w:p>
    <w:p>
      <w:r>
        <w:t>FR: GE_GERICHTE JTAPI/142/2022 du 21 février 2022</w:t>
      </w:r>
    </w:p>
    <w:p>
      <w:r>
        <w:t>IT: GE_GERICHTE JTAPI/142/2022 del 21 febbraio 2022</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sous l'angle de l'art. 49 LPFisc.</w:t>
      </w:r>
    </w:p>
    <w:p>
      <w:r>
        <w:rPr>
          <w:b/>
        </w:rPr>
        <w:t>E. 3</w:t>
      </w:r>
    </w:p>
    <w:p>
      <w:r>
        <w:t>Selon l’art. 560 al. 1 du Code civil suisse du 10 décembre 1907 (CC - RS 210), les héritiers acquièrent de plein droit l’universalité de la succession dès que celle-ci est ouverte. La succession s’ouvre par la mort (art. 537 al. 1 CC) au dernier domicile du défunt, pour l’ensemble des biens (art. 538 al. 1 CC). S’il y a plusieurs héritiers, tous les droits et obligations compris dans la succession restent indivis jusqu’au partage (art. 602 al. 1 CC). Les héritiers sont propriétaires et disposent en commun des biens qui dépendent de la succession (art. 602 al. 2 CC). Le conjoint survivant a droit, en concours avec les descendants, à la moitié de la succession (art. 462 al. 1 CC). L'autre moitié est répartie entre les membres de la première parentèle. Celle-ci est constituée des descendants (cf. art. 457 al. 1 CC), qui ont, dans le partage, un droit égal à tous les biens de la succession (art. 610 al. 1 CC). Par exemple, lorsque les parents les plus proches du de cujus vivant au moment du décès de ce dernier sont les deux enfants qu'il a eus avec son conjoint survivant et un troisième enfant qu'il a eu d'un premier mariage, le conjoint survivant est en concours avec la première parentèle. La succession se partage ab intestat, dans cette hypothèse, par moitié entre le conjoint survivant et la première parentèle. Les trois enfants du de cujus ont ainsi chacun une part ab intestat d'un sixième de la succession (cf. Florence GUILLAUME, in Pascal PICHONNAZ/Bénédict FOËX/Denis PIOTET [éd.], Commentaire romand du Code Civil II, 2016, n. 8 et 10 s ad art. 462 et les références citées).</w:t>
      </w:r>
    </w:p>
    <w:p>
      <w:r>
        <w:rPr>
          <w:b/>
        </w:rPr>
        <w:t>E. 4</w:t>
      </w:r>
    </w:p>
    <w:p>
      <w:r>
        <w:t>Aux termes de l’art. 64 al. 4 LIPP, la fortune dévolue par succession à un contribuable au cours de la période fiscale n’est imposable qu’à partir de la date de la dévolution. Le contribuable doit également déclarer les revenus qui en découlent depuis cette date et s’acquitter de l’impôt y relatif (cf. Yves NÖEL, in Yves NOËL/Florence AUBRY GIRARDIN [éd.], Commentaire romand, Impôt fédéral direct, 2017, ad art. 24 LIFD p. 591 et les références). Le fait qu'un partage n'ait pas encore eu lieu n'empêche pas l'imposition d'un contribuable sur sa part indivise dans une succession, même s'il n'a pu effectivement en bénéficier qu'après le partage (cf. JTAPI/536/2014 du 12 mai 2014 consid. 7).</w:t>
      </w:r>
    </w:p>
    <w:p>
      <w:r>
        <w:t>- 8/13 - A/1141/2021</w:t>
      </w:r>
    </w:p>
    <w:p>
      <w:r>
        <w:rPr>
          <w:b/>
        </w:rPr>
        <w:t>E. 5</w:t>
      </w:r>
    </w:p>
    <w:p>
      <w:r>
        <w:t>En droit cantonal, la LPGIP distingue les intérêts moratoires (art. 9 et 20 LPGIP) des intérêts compensatoires négatifs (art. 14 LPGIP).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Selon l'art. 12 LPGIP, les impôts périodiques des personnes physiques sont échus le 31 mars de l'année civile qui suit l'année fiscale (al. 1), le terme général d'échéance étant maintenu si le contribuable n'a reçu, à cette date, aucune décision de taxation (al. 3). A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 Le montant des acomptes doit être augmenté, réduit ou supprimé, lorsqu'il est établi, sur la base des éléments communiqués par le contribuable, que l'impôt qui sera fixé dans le bordereau de taxation sera sensiblement supérieur ou inférieur à celui des acomptes facturés (art. 5 al. 4 LPGIP).</w:t>
      </w:r>
    </w:p>
    <w:p>
      <w:r>
        <w:rPr>
          <w:b/>
        </w:rPr>
        <w:t>E. 6</w:t>
      </w:r>
    </w:p>
    <w:p>
      <w:r>
        <w:t>Le Tribunal fédéral a confirmé le droit pour l'AFC-GE de percevoir des intérêts financiers, relevant qu'il « appartient aux contribuables d'estimer le montant de leurs impôts afin, le cas échéant, de payer un éventuel solde si celui-ci devait s'avérer supérieur aux acomptes provisionnels et d'éviter des intérêts financiers » (arrêt 2C_520/2011 du 8 mai 2012 consid. 3.4). Tandis que les intérêts moratoires sont dus sur les acomptes impayés ou payés tardivement, les intérêts compensatoires négatifs ou financiers sont calculés sur les montants encore dus à partir du terme général d'échéance de l'impôt. Ces derniers n'ont pas le caractère d'une sanction, mais visent à rétablir un déséquilibre financier découlant de l'introduction du système postnumerando, dans lequel les contribuables sont taxés au plus tôt au cours de l'année suivante, avec pour conséquence que les collectivités publiques perdent les intérêts pour la part</w:t>
      </w:r>
    </w:p>
    <w:p>
      <w:r>
        <w:t>- 9/13 - A/1141/2021 supérieure aux acomptes et doivent, de plus, rembourser le trop-perçu d'impôts au taux des intérêts moratoires. Les intérêts compensatoires négatifs ou financiers sont ainsi destinés à réduire les pertes induites par le système (arrêt du Tribunal fédéral 2C_939/2011 du 7 août 2012 consid. 6). Par ailleurs, 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pour but, notamment,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à cette fin, laquelle nécessite uniquement d'entrer certaines données, comme la situation familiale ou les revenus, contenues dans la déclaration d'impôt (arrêt du Tribunal fédéral 2C_520/2011 du 8 mai 2012 consid. 3.4 et les références citées).</w:t>
      </w:r>
    </w:p>
    <w:p>
      <w:r>
        <w:rPr>
          <w:b/>
        </w:rPr>
        <w:t>E. 7</w:t>
      </w:r>
    </w:p>
    <w:p>
      <w:r>
        <w:t>En matière fiscale, si le contribuable a des doutes sur ses droits ou obligations, il doit faire en sorte de les lever ou, au moins, d'en faire part à l'autorité fiscale (cf. ATF 135 II 86 consid. 4.3 et les références).</w:t>
      </w:r>
    </w:p>
    <w:p>
      <w:r>
        <w:rPr>
          <w:b/>
        </w:rPr>
        <w:t>E. 8</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étant rappelé que le droit étranger, sauf exception, ne doit pas être établi d'office (cf. arrêt du Tribunal fédéral 2C_486/2020 du 19 janvier 2021 consid. 6.5). Cette maxime ne dispense pas pour autant les parties de collaborer à l'établissement des faits ; il leur incombe d'étayer leurs propres thèses, de renseigner l'autorité sur les faits de la cause et de lui indiquer les moyens de preuves disponibles, spécialement lorsqu'il s'agit d'élucider des faits qu'elles sont le mieux à même de connaître (cf. ATF 140 I 285 consid. 6.3.1 ; arrêt du Tribunal fédéral 2C_649/2020 du 10 novembre 2020 consid. 6.4). Le Tribunal fédéral a même qualifié cette obligation de « devoir de collaboration spécialement élevé »,</w:t>
      </w:r>
    </w:p>
    <w:p>
      <w:r>
        <w:t>- 10/13 - A/1141/2021 lorsqu'il s'agit d'éléments ayant trait à la situation personnelle de l'intéressé, puisqu'il s'agit de faits qu'il connaît mieux que quiconque (cf. arrêts 1C_58/2012 du 10 juillet 2012 consid. 3.2 et la référence citée ; 2C_703/2008 du 8 janvier 2009 consid. 5.2 ; 2C_80/2007 du 25 juillet 2007 consid. 4 et les références citées). Le droit genevois prévoit par ailleurs que les parties sont tenues de collaborer à la constatation des faits dans les procédures qu'elles introduisent elles-mêmes, dans celles où elles y prennent des conclusions indépendantes, ainsi que dans les autres cas prévus par la loi (art. 22 de la loi sur la procédure administrative du</w:t>
      </w:r>
    </w:p>
    <w:p>
      <w:r>
        <w:rPr>
          <w:b/>
        </w:rPr>
        <w:t>E. 12</w:t>
      </w:r>
    </w:p>
    <w:p>
      <w:r>
        <w:t>En l’occurrence, les intérêts litigieux sont échus depuis la date de notification des décomptes finaux, soit courant octobre 2020, si bien que leur déduction ne peut être admise dans le cadre des périodes fiscales 2011 à 2015 ; ils ne peuvent concerner que l'année 2020, laquelle ne fait pas l’objet du présent litige. Partant, ce grief doit également être écarté.</w:t>
      </w:r>
    </w:p>
    <w:p>
      <w:r>
        <w:t>- 12/13 - A/1141/2021</w:t>
      </w:r>
    </w:p>
    <w:p>
      <w:r>
        <w:rPr>
          <w:b/>
        </w:rPr>
        <w:t>E. 13</w:t>
      </w:r>
    </w:p>
    <w:p>
      <w:r>
        <w:t>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 Les dettes simplement possibles, futures ou correspondant à des expectatives ne sont en principe pas déductibles. Selon le principe de périodicité, la cause juridique et fait générateur de la dette doivent être réalisés au moment déterminant pour l'imposition de la fortune (cf. ATA/440/2021 du 20 avril 2021 consid. 4b et les références citées).</w:t>
      </w:r>
    </w:p>
    <w:p>
      <w:r>
        <w:rPr>
          <w:b/>
        </w:rPr>
        <w:t>E. 14</w:t>
      </w:r>
    </w:p>
    <w:p>
      <w:r>
        <w:t>En l’espèce, la déduction des intérêts litigieux de la fortune des recourants pour les exercices fiscaux 2011 à 2015 ne serait possible que si ceux-ci étaient devenus des dettes à la fin de ces périodes, puisqu’à teneur de l'art. 56 LIPP, seules ces dernières sont déductibles de la fortune brute. Or, le moment auquel ces intérêts peuvent être considérés comme une dette est conditionné par leur échéance. Or, comme relevé ci-dessus, ces intérêts n'étaient pas échus durant ces exercices fiscaux ; ils ne sont donc pas devenus des dettes pendant leur cours. Aucune déduction de la fortune des recourants pour les périodes de taxation 2011 à 2015 ne peut dès lors être admise à ce titre.</w:t>
      </w:r>
    </w:p>
    <w:p>
      <w:r>
        <w:rPr>
          <w:b/>
        </w:rPr>
        <w:t>E. 15</w:t>
      </w:r>
    </w:p>
    <w:p>
      <w:r>
        <w:t>Il résulte de ce qui précède que la décision contestée est conforme au droit.</w:t>
      </w:r>
    </w:p>
    <w:p>
      <w:r>
        <w:rPr>
          <w:b/>
        </w:rPr>
        <w:t>E. 16</w:t>
      </w:r>
    </w:p>
    <w:p>
      <w:r>
        <w:t>Partant, le recours, mal fondé, doit être rejeté.</w:t>
      </w:r>
    </w:p>
    <w:p>
      <w:r>
        <w:rPr>
          <w:b/>
        </w:rPr>
        <w:t>E. 17</w:t>
      </w:r>
    </w:p>
    <w:p>
      <w:r>
        <w:t>Vu cette issue, un émolument de CHF 700.- sera mis à la charge des recourants, qui succombent (art. 52 LPFisc cum art. 2 al. 2 LPGIP). Ces derniers n'ont pas droit à une indemnité de procédure (art. 87 al. 2 LPA a contrario cum art. 2 al. 2 LPFisc et 2 al. 2 LPGIP).</w:t>
      </w:r>
    </w:p>
    <w:p>
      <w:r>
        <w:t>- 13/13 - A/1141/2021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