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JTAPI/141/2023 vom 6. Februar 2023</w:t>
      </w:r>
    </w:p>
    <w:p>
      <w:r>
        <w:t>GE Cour de justice, 2023-02-06, FR</w:t>
      </w:r>
    </w:p>
    <w:p>
      <w:r>
        <w:rPr>
          <w:b/>
        </w:rPr>
        <w:t xml:space="preserve">Quelle: </w:t>
      </w:r>
      <w:r>
        <w:t>https://mcp.opencaselaw.ch/entscheid/ge_gerichte_JTAPI_141_2023</w:t>
      </w:r>
    </w:p>
    <w:p>
      <w:r>
        <w:t>FR: GE_GERICHTE JTAPI/141/2023 du 6 février 2023</w:t>
      </w:r>
    </w:p>
    <w:p>
      <w:r>
        <w:t>IT: GE_GERICHTE JTAPI/141/2023 del 6 febbraio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Dans la mesure où l'OCV a admis devant le tribunal que la décision contestée constituait une décision définitive et non pas incidente, il lui en sera donné acte et le grief du recourant sur cette question sera déclaré sans objet. 4. Le recourant reproche à l'autorité intimée d'avoir violé son droit d'être entendu en ne lui délivrant pas la copie intégrale de son dossier, soit en particulier une copie de la dénonciation, même caviardée ou résumée, qui l'a incitée à entamer une procédure à son encontre. L'OCV s'est opposé à la transmission de la dénonciation tout en précisant dans ses écritures que les faits dénoncés, par une personne désirant garder l'anonymat, faisaient état des problématiques suivantes : « la vue n'est pas bonne, l'audition n'est pas bonne, troubles de la mémoire, cas de décompensation, automédication ».</w:t>
      </w:r>
    </w:p>
    <w:p>
      <w:r>
        <w:rPr>
          <w:b/>
        </w:rPr>
        <w:t>E. 5</w:t>
      </w:r>
    </w:p>
    <w:p>
      <w:r>
        <w:t>Selon la jurisprudence développée par le Tribunal fédéral, tel qu’il est garanti par l’art. 29 al. 2 de la Constitution fédérale de la Confédération suisse du 18 avril 1999 (Cst. - RS 101), le droit d’être entendu comprend notamment le droit pour l’intéressé d’offrir des preuves pertinentes, de prendre connaissance du dossier,</w:t>
      </w:r>
    </w:p>
    <w:p>
      <w:r>
        <w:t>- 9/16 - A/1566/2022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ATA/188/2022 du 22 février 2022).</w:t>
      </w:r>
    </w:p>
    <w:p>
      <w:r>
        <w:rPr>
          <w:b/>
        </w:rPr>
        <w:t>E. 6</w:t>
      </w:r>
    </w:p>
    <w:p>
      <w:r>
        <w:t>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ATA/235/2014 du 8 avril 2014 consid. 13a).</w:t>
      </w:r>
    </w:p>
    <w:p>
      <w:r>
        <w:rPr>
          <w:b/>
        </w:rPr>
        <w:t>E. 7</w:t>
      </w:r>
    </w:p>
    <w:p>
      <w:r>
        <w:t>En l’espèce, la production requise n’a pas pour but d’établir les faits – évaluation médicale concernant l'aptitude à la conduite – ayant conduit l'OCV à prononcer le retrait du permis de conduire litigieux. Si le contexte dans lequel s'est déroulé l'expertise est critiqué, les conclusions de l'expert ne sont pas contestées en tant que telles par le recourant et les arguments divergents des parties quant à l’application de la loi à cette situation seront examinés plus loin. La production de la dénonciation n’est donc pas nécessaire à la solution du litige s’agissant de statuer sur le bien-fondé du retrait de permis de conduire litigieux. Le recourant semble soutenir que la décision querellée n'aurait pas pu être prise sans la dénonciation. La production requise poursuit ainsi l’objectif d’établir les circonstances ayant conduit l'OCV à ouvrir une procédure visant à établir l'aptitude à la conduire de l'intéressé, avec pour effet celui d’entraîner l’invalidation des décisions querellées en raison de vices de forme. Dans le cadre de sa réponse au recours, l'OCV a exposé le contenu de la dénonciation qui l'a incité à instruire la question de l'aptitude à la conduite du recourant. Celui-ci ne parvient ainsi pas à établir d’intérêt privé à se voir délivrer une copie de la dénonciation. Il ne saurait donc a fortiori faire prévaloir un tel</w:t>
      </w:r>
    </w:p>
    <w:p>
      <w:r>
        <w:t>- 10/16 - A/1566/2022 intérêt sur celui de l'OCV à ne pas dévoiler ses sources et sur celui du dénonciateur à demeurer anonyme à son égard. Le grief est mal fondé.</w:t>
      </w:r>
    </w:p>
    <w:p>
      <w:r>
        <w:rPr>
          <w:b/>
        </w:rPr>
        <w:t>E. 8</w:t>
      </w:r>
    </w:p>
    <w:p>
      <w:r>
        <w:t>Le recourant invoque la nullité de la décision par laquelle l'OCV lui a ordonné de se soumettre à une expertise visant à déterminer son aptitude à la conduite, à savoir le courrier du 24 mars 2022, au motif qu'elle violerait le droit.</w:t>
      </w:r>
    </w:p>
    <w:p>
      <w:r>
        <w:rPr>
          <w:b/>
        </w:rPr>
        <w:t>E. 9</w:t>
      </w:r>
    </w:p>
    <w:p>
      <w:r>
        <w:t>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 6 avril 2020 consid. 1.1.2 ; 1C_620/2013 du 3 avril 2014 consid. 5.1 ; 9C_333/2007 du 24 juillet 2008 consid. 2.1 ; Thierry TANQUEREL, Manuel de droit administratif, 2ème éd., 2018, n. 866 p. 308).</w:t>
      </w:r>
    </w:p>
    <w:p>
      <w:r>
        <w:rPr>
          <w:b/>
        </w:rPr>
        <w:t>E. 10</w:t>
      </w:r>
    </w:p>
    <w:p>
      <w:r>
        <w:t>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w:t>
      </w:r>
    </w:p>
    <w:p>
      <w:r>
        <w:rPr>
          <w:b/>
        </w:rPr>
        <w:t>E. 11</w:t>
      </w:r>
    </w:p>
    <w:p>
      <w:r>
        <w:t>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w:t>
      </w:r>
    </w:p>
    <w:p>
      <w:r>
        <w:rPr>
          <w:b/>
        </w:rPr>
        <w:t>E. 12</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w:t>
      </w:r>
    </w:p>
    <w:p>
      <w:r>
        <w:t>- 11/16 - A/1566/2022 conduire un véhicule automobile en toute sécurité (let. c) et dont les antécédents attestent qu’il respecte les règles en vigueur ainsi que les autres usagers de la route (let. d).</w:t>
      </w:r>
    </w:p>
    <w:p>
      <w:r>
        <w:rPr>
          <w:b/>
        </w:rPr>
        <w:t>E. 13</w:t>
      </w:r>
    </w:p>
    <w:p>
      <w:r>
        <w:t>Si l'aptitude à la conduite soulève des doutes, la personne concernée fait l'objet d'une enquête dans les cas énumérés de manière non exhaustive à l'art. 15d al. 1 let. a à e LCR (cf. arrêt du Tribunal fédéral 1C_531/2016 du 22 février 2017 consid. 2.1.1).</w:t>
      </w:r>
    </w:p>
    <w:p>
      <w:r>
        <w:rPr>
          <w:b/>
        </w:rPr>
        <w:t>E. 14</w:t>
      </w:r>
    </w:p>
    <w:p>
      <w:r>
        <w:t>À teneur de l'art. 28a OAC, si l’aptitude à la conduite d’une personne soulève des doutes (art. 15d, al. 1, LCR), l’autorité cantonale ordonne : a. en cas de questions relevant de la médecine du trafic: un examen d’évaluation de l’aptitude à la conduite par un médecin selon l’art. 5abis b. en cas de questions relevant de la psychologie du trafic, notamment dans les cas visés à l’art. 15d, al. 1, let. c, LCR: un examen d’évaluation de l’aptitude à la conduite par un psychologue du trafic selon l’art. 5c (al. 1). Le médecin qui procède à l’examen d’évaluation de l’aptitude à la conduite doit: a. avoir obtenu une reconnaissance de niveau 4 dans les cas visés à l’art. 15d, al. 1, let. a et b, LCR; b. avoir obtenu au minimum une reconnaissance de niveau 3 dans les cas visés à l’art. 15d, al. 1, let. d et e, LCR (al. 2). En cas de questions relevant à la fois de la médecine du trafic et de la psychologie du trafic, un examen relevant de la médecine du trafic et un examen relevant de la psychologie du trafic doivent être réalisés respectivement par un médecin ayant obtenu la reconnaissance de niveau 4 et par un psychologue ayant obtenu la reconnaissance visée à l’art. 5c (al. 3).</w:t>
      </w:r>
    </w:p>
    <w:p>
      <w:r>
        <w:rPr>
          <w:b/>
        </w:rPr>
        <w:t>E. 15</w:t>
      </w:r>
    </w:p>
    <w:p>
      <w:r>
        <w:t>L'art. 30a al. 1 OAC prévoit que si un particulier communique des doutes sur l’aptitude à la conduite d’une autre personne à l’autorité cantonale, cette dernière peut demander un rapport au médecin traitant. Elle garantit l’anonymat à l’auteur de la communication s’il le demande. L’identité de celui-ci ne pourra pas non plus être divulguée dans le cadre de procédures administratives.</w:t>
      </w:r>
    </w:p>
    <w:p>
      <w:r>
        <w:rPr>
          <w:b/>
        </w:rPr>
        <w:t>E. 16</w:t>
      </w:r>
    </w:p>
    <w:p>
      <w:r>
        <w:t>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1C_557/2014du 9 décembre 2014 consid. 3 ; 1C_819 du 25 novembre 2013 consid. 2 ; 1C_593/2012 du 28 mars 2013 consid. 3.1 ; 1C_248/2011 du 30 janvier 2012 consid. 3.1 ; 6A.33/2001 et 35/2001 du 30 mai 2001 consid. 3a).</w:t>
      </w:r>
    </w:p>
    <w:p>
      <w:r>
        <w:t>- 12/16 - A/1566/2022</w:t>
      </w:r>
    </w:p>
    <w:p>
      <w:r>
        <w:rPr>
          <w:b/>
        </w:rPr>
        <w:t>E. 17</w:t>
      </w:r>
    </w:p>
    <w:p>
      <w:r>
        <w:t>Si elle met en œuvre une expertise, l'autorité est liée par l'avis de l'expert et ne peut s'en écarter que si elle a de sérieux motifs de le faire (ATF 132 II 257 consid. 4.4.1 ; arrêt du Tribunal fédéral 1C_557/2014du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18</w:t>
      </w:r>
    </w:p>
    <w:p>
      <w:r>
        <w:t>Aux termes de l'art. 16 al. 1 1ère phr.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w:t>
      </w:r>
    </w:p>
    <w:p>
      <w:r>
        <w:t>- 13/16 - A/1566/2022 et psychiques ne lui permettent pas ou plus de conduire avec sûreté un véhicule automobile (art. 16d al. 1 let. a LCR ; cf. aussi art. 14 al. 2 let. b LCR).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19</w:t>
      </w:r>
    </w:p>
    <w:p>
      <w:r>
        <w:t>En l'occurrence, le litige est circonscrit à la contestation du retrait du permis de conduire pour une durée indéterminée prononcé par l'OCV à l'encontre du recourant, la présente procédure ne devant en effet pas être l'occasion, pour ce dernier, de se voir restituer les droits de partie auxquels il est réputé avoir renoncé en ne contestant pas la décision du 24 mars 2022 l'invitant à se soumettre à une expertise, entrée en force. Ainsi, les vices qu'il invoque à l'égard de cette décision, qui relèvent exclusivement du fond (violation de la loi), ne sauraient conduire au constat de la nullité de celle-ci. En effet, ayant conçu des doutes quant à l'aptitude à la conduite du recourant après avoir reçu une dénonciation le concernant, l'OCV était parfaitement légitimé à ordonner une enquête sous la forme d'une expertise médicale. En effet, la forme potestative de l'art. 30a OAC ne le contraignait aucunement à requérir préalablement un rapport au médecin traitant à cet effet.</w:t>
      </w:r>
    </w:p>
    <w:p>
      <w:r>
        <w:rPr>
          <w:b/>
        </w:rPr>
        <w:t>E. 20</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rPr>
          <w:b/>
        </w:rPr>
        <w:t>E. 21</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w:t>
      </w:r>
    </w:p>
    <w:p>
      <w:r>
        <w:t>- 14/16 - A/1566/2022</w:t>
      </w:r>
    </w:p>
    <w:p>
      <w:r>
        <w:rPr>
          <w:b/>
        </w:rPr>
        <w:t>E. 22</w:t>
      </w:r>
    </w:p>
    <w:p>
      <w:r>
        <w:t>En l'occurrence, c'est en vain que le recourant reproche à l'autorité intimée une violation du principe de la confiance. Il fait ainsi grand cas du fait que l'OCV lui avait annoncé une expertise de niveau 3 et qu'une expertise de niveau 4 aurait été réalisée. Il ressort en effet du dossier que le recourant a dûment été informé que l'expertise à laquelle il devait se soumettre visait à établir son aptitude à la conduite. En outre, le fait que le patricien ayant conduit l'examen soit au bénéfice d'une reconnaissance de type 4 ne l'empêchait de toute évidence pas de procéder à une expertise de niveau 3. Par ailleurs, l'argument du recourant selon lequel le fait de s'être retrouvé soumis à un examen auquel il ne s'attendait pas et de surcroit à jeun, ce qui l'aurait placé dans des conditions défavorables, ne résiste pas à l'examen. D'une part, le recourant ne parvient pas à démontrer qu'il lui aurait été demandé de se rendre à jeun au rendez-vous fixé. Concernant la nature de l'examen, d'autre part, il ressort clairement du courrier de l'UMPT du 19 avril 2022 qu'il était invité à se soumettre à une expertise médicale d'aptitude à la conduite dont la durée prévue était d'environ une heure et demi. Enfin, il résulte du rapport d'expertise que le praticien qui l'a examiné le 28 avril 2022 lui a préalablement expliqué les buts et le déroulement de l'examen et demandé s'il était en mesure de se soumettre à cette expertise et s'il n'était pas diminué par une maladie et/ou une autre cause. Dans ces circonstances, même si le recourant n'avait apparemment pas compris la nature de l'examen auquel il serait soumis avant sa rencontre avec le patricien, celle-ci lui a été dûment présentée et il aurait parfaitement pu expliquer au médecin qu'il ne se sentait pas en état de se prêter à l'examen lorsqu'il lui a été demandé en début d'entretien s'il présentait un empêchement. Pour le surplus, rien ne permet au tribunal de céans de s'écarter des conclusions médicales de l'expertise, qui ont conduit le médecin-conseil de niveau 4 à évaluer le recourant comme étant inapte à la conduite d'un véhicule automobile, étant relevé que celui-ci ne fait que substituer sa propre appréciation à celle de l'expert et de l'autorité intimée.</w:t>
      </w:r>
    </w:p>
    <w:p>
      <w:r>
        <w:t>Enfin, l'autorité intimée a prononcé la seule mesure prévue par la loi, laquelle dispose que, dans de telles circonstances, le retrait de sécurité est obligatoirement prononcé pour une durée indéterminée (art. 16d al. 1 LCR).</w:t>
      </w:r>
    </w:p>
    <w:p>
      <w:r>
        <w:t>Par ailleurs, il doit être souligné que la mesure pourra être levée sur présentation d'un rapport d'expertise favorable établi par un médecin de niveau 4. En conclusion, le recours sera rejeté et la décision de l'OCV confirmée.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w:t>
      </w:r>
    </w:p>
    <w:p>
      <w:r>
        <w:t>- 15/16 - A/1566/2022 frais versée à la suite du dépôt du recours. Vu l’issue du litige, aucune indemnité de procédure ne sera allouée (art. 87 al. 2 LPA).</w:t>
      </w:r>
    </w:p>
    <w:p>
      <w:r>
        <w:t>- 16/16 - A/1566/2022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