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JTAPI/1391/2022 vom 14. Dezember 2022</w:t>
      </w:r>
    </w:p>
    <w:p>
      <w:r>
        <w:t>GE Cour de justice, 2022-12-14, FR</w:t>
      </w:r>
    </w:p>
    <w:p>
      <w:r>
        <w:rPr>
          <w:b/>
        </w:rPr>
        <w:t xml:space="preserve">Quelle: </w:t>
      </w:r>
      <w:r>
        <w:t>https://mcp.opencaselaw.ch/entscheid/ge_gerichte_JTAPI_1391_2022</w:t>
      </w:r>
    </w:p>
    <w:p>
      <w:r>
        <w:t>FR: GE_GERICHTE JTAPI/1391/2022 du 14 décembre 2022</w:t>
      </w:r>
    </w:p>
    <w:p>
      <w:r>
        <w:t>IT: GE_GERICHTE JTAPI/1391/2022 del 14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- 6/12 - A/1878/2022 attaquée, sauf exception prévue par la loi (art. 61 al. 2 LPA), non réalisée en l'espèce.</w:t>
      </w:r>
    </w:p>
    <w:p>
      <w:r>
        <w:rPr>
          <w:b/>
        </w:rPr>
        <w:t>E. 4</w:t>
      </w:r>
    </w:p>
    <w:p>
      <w:r>
        <w:t>Saisi d'un recours, le tribunal applique le droit d'office et s'il ne peut pas aller au- delà des conclusions des parties, il n'est pas lié par les motifs qu'elles invoquent (art. 69 al. 1 LPA ; cf. ATA/117/2016 du 9 février 2016 consid. 2 ; ATA/723/2015 du 14 juillet 2015 consid. 4a ; ATA/585/2015 du 9 juin 2015 ; ATA/285/2013 du 7 mai 2013), de sorte qu'il peut admettre le recours pour d'autres motifs que ceux invoqués par le recourant, comme il peut le rejeter en opérant une substitution de motifs (cf. ATF 135 III 397 consid. 1.4 ; arrêts du Tribunal fédéral 2C_540/2013 du 5 décembre 2013 consid. 3 ; 2C_349/2012 du 18 mars 2013 consid. 2.1).</w:t>
      </w:r>
    </w:p>
    <w:p>
      <w:r>
        <w:rPr>
          <w:b/>
        </w:rPr>
        <w:t>E. 5</w:t>
      </w:r>
    </w:p>
    <w:p>
      <w:r>
        <w:t>A titre préliminaire, le recourant sollicite la suspension de l’instruction de la cause en attendant la réponse du département sur la demande de renseignements relative à une modification du régime de zone de la parcelle n° 3704 de la commune d’Avully enregistrée le 23 novembre 2022.</w:t>
      </w:r>
    </w:p>
    <w:p>
      <w:r>
        <w:rPr>
          <w:b/>
        </w:rPr>
        <w:t>E. 6</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cette question. Cette disposition est une norme potestative et son texte clair ne prévoit pas la suspension systématique de la procédure chaque fois qu'une autorité civile, pénale ou administrative est parallèlement saisie (ATA/206/2015 du 24 février 2015 consid. 2c).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(ATA/206/2015 du 24 février 2015 consid. 2c). Une procédure ne saurait dès lors être suspendue sans que l'autorité saisie n'ait examiné les moyens de droit qui justifieraient une solution du litige sans attendre la fin d'une autre procédure. Il serait en effet contraire à la plus élémentaire économie de procédure et à l'interdiction du déni de justice formel fondé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(ATA/206/2015 du 24 février 2015 consid. 2c).</w:t>
      </w:r>
    </w:p>
    <w:p>
      <w:r>
        <w:rPr>
          <w:b/>
        </w:rPr>
        <w:t>E. 7</w:t>
      </w:r>
    </w:p>
    <w:p>
      <w:r>
        <w:t>En l’espèce, la demande de renseignements déposée auprès de l’office de l’urbanisme du département porte sur la possibilité de modifier le régime de zone sur laquelle se situe la parcelle n° 1______. Or, une telle demande n’a pas pour finalité la délivrance d’une décision formatrice de droits et obligations mais</w:t>
      </w:r>
    </w:p>
    <w:p>
      <w:r>
        <w:t>- 7/12 - A/1878/2022 simplement une information sur la faisabilité du projet de modification de zone. Dès lors qu’au terme de celle-ci, la situation juridique de la parcelle ne sera aucunement modifiée, il ne peut être retenu que l’issue de la présente procédure dépend de celle de la demande de renseignement. Il n’y a dès lors pas lieu de suspendre l’instruction de la présente procédure en attendant l’issue de ladite demande de renseignements.</w:t>
      </w:r>
    </w:p>
    <w:p>
      <w:r>
        <w:rPr>
          <w:b/>
        </w:rPr>
        <w:t>E. 8</w:t>
      </w:r>
    </w:p>
    <w:p>
      <w:r>
        <w:t>Le recourant ne conteste pas la décision en ce qu’elle ordonne la suppression et l’évacuation de la terrasse le long de la façade sud du bâtiment n° 4______ (objet B), la suppression et l’évacuation de la terrasse le long de la façade est du bâtiment n° 4______ (objet C) et la remise en état du terrain naturel. Seule est donc litigieuse la suppression et l’évacuation du bâtiment n° 4______ et de la cour nord-ouest de la parcelle (objet A).</w:t>
      </w:r>
    </w:p>
    <w:p>
      <w:r>
        <w:rPr>
          <w:b/>
        </w:rPr>
        <w:t>E. 9</w:t>
      </w:r>
    </w:p>
    <w:p>
      <w:r>
        <w:t>Selon l'art. 22 al. 1 de la loi fédérale sur l'aménagement du territoire du 22 juin 1979 (LAT - RS 700), aucune construction ou installation ne peut être créée ou transformée sans autorisation de l'autorité compétente.</w:t>
      </w:r>
    </w:p>
    <w:p>
      <w:r>
        <w:rPr>
          <w:b/>
        </w:rPr>
        <w:t>E. 10</w:t>
      </w:r>
    </w:p>
    <w:p>
      <w:r>
        <w:t>L'art. 1 al. 1 LCI prévoit que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 modifier la configuration du terrain (let. d) ; aménager des voies de circulation, des places de parcage ou une issue sur la voir publique (let. e). Aucun travail ne doit être entrepris avant que l'autorisation n'ait été délivrée (art. 1 al. 7 1ère phrase LCI).</w:t>
      </w:r>
    </w:p>
    <w:p>
      <w:r>
        <w:rPr>
          <w:b/>
        </w:rPr>
        <w:t>E. 11</w:t>
      </w:r>
    </w:p>
    <w:p>
      <w:r>
        <w:t>L'art. 1 al. 1 du règlement d'application de la loi sur les constructions et installations diverses du 27 février 1978 (RCI - L 5 05 01) précise que sont réputées constructions ou installations toutes choses immobilières ou mobilières édifiées au-dessus ou au-dessous du sol ainsi que toutes leurs parties intégrantes et accessoires, soit notamment, les murs, clôtures, portails, poulaillers, clapiers, chenils (let. b).</w:t>
      </w:r>
    </w:p>
    <w:p>
      <w:r>
        <w:rPr>
          <w:b/>
        </w:rPr>
        <w:t>E. 12</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en ordonner la remise en état, la réparation, la modification, la suppression ou la démolition (art. 129 let. e et 130 LCI).</w:t>
      </w:r>
    </w:p>
    <w:p>
      <w:r>
        <w:t>- 8/12 - A/1878/2022</w:t>
      </w:r>
    </w:p>
    <w:p>
      <w:r>
        <w:rPr>
          <w:b/>
        </w:rPr>
        <w:t>E. 13</w:t>
      </w:r>
    </w:p>
    <w:p>
      <w:r>
        <w:t>De jurisprudence constante (ATA/463/2021 du 27 avril 2021 consid. 5b ; ATA/349/2021 du 23 mars 2021 consid. 7 ; ATA/330/2021 du 16 mars 2021 consid. 3c), pour être valable, un ordre de mise en conformité doit respecter cinq conditions. Premièrement, l'ordre doit être dirigé contre le perturbateur, par comportement ou par situation. Les installations en cause ne doivent ensuite pas avoir été autorisées en vertu du droit en vigueur au moment de leur réalisation. Un délai de plus de trente ans ne doit pas s'être écoulé depuis l'exécution des travaux litigieux pour la zone à bâtir. La situation diffère hors de la zone à bâtir, puisque depuis avril 2021, le Tribunal fédéral a renoncé à appliquer aux constructions illégales situées en zone agricole le délai de péremption de trente ans, à l’échéance duquel l’État ne peut plus exiger la démolition d’une installation pour rétablir une situation conforme au droit (arrêt 1C_469/2019 du 28 avril 2021).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w:t>
      </w:r>
    </w:p>
    <w:p>
      <w:r>
        <w:rPr>
          <w:b/>
        </w:rPr>
        <w:t>E. 14</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15</w:t>
      </w:r>
    </w:p>
    <w:p>
      <w:r>
        <w:t>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w:t>
      </w:r>
    </w:p>
    <w:p>
      <w:r>
        <w:t>- 9/12 - A/1878/2022 et les intérêts publics ou privés compromis (ATF 126 I 219 consid. 2c et les références citées ; ATA/738/2017 du 3 octobre 2017 consid. 8).</w:t>
      </w:r>
    </w:p>
    <w:p>
      <w:r>
        <w:rPr>
          <w:b/>
        </w:rPr>
        <w:t>E. 16</w:t>
      </w:r>
    </w:p>
    <w:p>
      <w:r>
        <w:t>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du 2 juin 2015 consid. 24c ; ATA/700/2014 du 2 septembre 2014 consid. 5a ; ATA/735/2013 du 5 novembre 2013 consid. 11).</w:t>
      </w:r>
    </w:p>
    <w:p>
      <w:r>
        <w:rPr>
          <w:b/>
        </w:rPr>
        <w:t>E. 17</w:t>
      </w:r>
    </w:p>
    <w:p>
      <w:r>
        <w:t>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(ATA/213/2018 précité consid. 11 ; ATA/738/2017 précité consid. 8 ; ATA/829/2016 du 4 octobre 2016).</w:t>
      </w:r>
    </w:p>
    <w:p>
      <w:r>
        <w:rPr>
          <w:b/>
        </w:rPr>
        <w:t>E. 18</w:t>
      </w:r>
    </w:p>
    <w:p>
      <w:r>
        <w:t>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ATA/213/2018 précité consid. 11; ATA/738/2017 précité consid. 8).</w:t>
      </w:r>
    </w:p>
    <w:p>
      <w:r>
        <w:rPr>
          <w:b/>
        </w:rPr>
        <w:t>E. 19</w:t>
      </w:r>
    </w:p>
    <w:p>
      <w:r>
        <w:t>Le Tribunal fédéral est particulièrement strict en zone agricole et a ainsi confirmé les ordres de démolition ou d'enlèvement des constructions ou installations suivantes érigées sans autorisation : une palissade en bois, un mobil home, un chalet, un sous-sol, des containers utilisés pour loger des employés d'une exploitation agricole, un appentis de 12,54 m2 et un cabanon de jardin de 10,29 m2 (ATF 1C_482/2017 précité), un paddock et un abri pour chevaux (arrêt du Tribunal fédéral 1C_589/2017 du 16 novembre 2018). 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 au droit l'emporte sur celui, privé, du recourant à l'exploitation de son entreprise sur le site litigieux" (arrêt du Tribunal fédéral</w:t>
      </w:r>
    </w:p>
    <w:p>
      <w:r>
        <w:t>- 10/12 - A/1878/2022 1C_446/2010 du 18 avril 2011, consid. 5.1.1 et les références citées ; ATA/68/2013 du 6 février 2013). La chambre administrative de la Cour de justice (ci-après : la chambre administrative) a, pour sa part, confirmé l'ordre de remise en état d'une clôture en zone agricole au motif que l'intérêt public à la préservation des terres agricoles, comprenant de plus des surfaces d'assolement, ainsi que l'intérêt public au rétablissement d'une situation conforme au droit doivent l'emporter sur l'intérêt privé du recourant à mettre en place diverses installations non autorisées et non autorisables sur la parcelle (ATA/1370/2018 du 18 décembre 2018 consid. 10). Dans un autre arrêt, elle a également confirmé un ordre de démolition, en zone à bâtir, s'agissant de travaux dans une villa qui ne figuraient pas dans l'autorisation de construire délivrée par l'autorité et relevant que le fait qu'une remise en état entraînerait aujourd'hui des contraintes, notamment en termes financiers, n'était pas déterminant, cette situation étant uniquement due à l'attitude de la recourante, qui s'était affranchie de l'obligation de solliciter au préalable une autorisation de construire pour les installations litigieuses (ATA/213/2018 précité consid. 12). Le Tribunal fédéral a enfin déjà souligné qu'il était dans l'intérêt public d'appliquer les règles en vigueur dans un cas de démolition volontaire suivie d'une reconstruction, ce cas se distinguant clairement de celui d'une transformation partielle ou d'une rénovation, où la protection de la situation acquise pouvait être déduite du droit constitutionnel (arrêt du Tribunal fédéral 1P.56/2006 du 22 février 2007, consid. 2.3).</w:t>
      </w:r>
    </w:p>
    <w:p>
      <w:r>
        <w:rPr>
          <w:b/>
        </w:rPr>
        <w:t>E. 20</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rPr>
          <w:b/>
        </w:rPr>
        <w:t>E. 21</w:t>
      </w:r>
    </w:p>
    <w:p>
      <w:r>
        <w:t>En l’espèce, le recourant reconnait avoir procédé sans autorisation à des travaux et des agrandissements sur le bâtiment n° 4______: il a ainsi réalisé de nouvelles fondations en béton, construit de nouvelles façades en bois, transformé le rez-de- chaussée et ajouté des aménagements extérieurs. Il indique toutefois ne pas avoir entièrement détruit le bâtiment pour l’avoir ensuite reconstruit mais n’avoir procédé qu’à des travaux de transformation. Or, il ressort clairement des photographies aériennes consultables sur le Système d'Information du Territoire à Genève que le bâtiment n° 4______ ne correspond plus à celui autorisé le 21 août 1969 tant en ce qui concerne ses dimensions - passant de 32 m2 à 116 m2 - que son implantation et orientation : il en découle qu’il ne peut y avoir eu que démolition du bâtiment puis reconstruction de celui-ci pour parvenir à une telle modification du bâtiment, étant rappelé que de nouvelles fondations ont été créées.</w:t>
      </w:r>
    </w:p>
    <w:p>
      <w:r>
        <w:t>- 11/12 - A/1878/2022 Dès lors qu’il y a eu démolition volontaire du bâtiment puis reconstruction, eu égard à la jurisprudence du Tribunal fédéral, le recourant ne peut plus faire valoir de droit acquis sur ladite construction, et donc l’autorisation de construire délivrée en 1969. C’est donc à juste titre que le département en a demandé la démolition. Concernant la cour située au nord-ouest de la parcelle (objet A), contrairement à ce que prétend le recourant, elle n’existait pas au moment de la délivrance de l’autorisation de construire de 1969. Selon les photographies aériennes, elle apparait clairement entre 2016 et 2017, soit à la fin de la construction du nouveau bâtiment. N’ayant jamais été autorisée et ne servait pas à l’exploitation agricole – ce que le recourant ne prétend du reste pas – elle devra également être supprimée. Pour le surplus et comme déjà indiqué, la remise en état des autres éléments présents sur la parcelle (objets B et C et remise en état du terrain naturel) ne sont pas contestés par le recourant.</w:t>
      </w:r>
    </w:p>
    <w:p>
      <w:r>
        <w:rPr>
          <w:b/>
        </w:rPr>
        <w:t>E. 22</w:t>
      </w:r>
    </w:p>
    <w:p>
      <w:r>
        <w:t>En tous points mal fondé, le recours sera rejeté et la décision confirmée.</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900.- ; il est couvert par l’avance de frais versée à la suite du dépôt du recours. Vu l’issue du litige, aucune indemnité de procédure ne sera allouée (art. 87 al. 2 LPA).</w:t>
      </w:r>
    </w:p>
    <w:p>
      <w:r>
        <w:t>- 12/12 - A/1878/2022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