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JTAPI/138/2025 vom 5. Februar 2025</w:t>
      </w:r>
    </w:p>
    <w:p>
      <w:r>
        <w:t>GE Cour de justice, 2025-02-05, FR</w:t>
      </w:r>
    </w:p>
    <w:p>
      <w:r>
        <w:rPr>
          <w:b/>
        </w:rPr>
        <w:t xml:space="preserve">Quelle: </w:t>
      </w:r>
      <w:r>
        <w:t>https://mcp.opencaselaw.ch/entscheid/ge_gerichte_JTAPI_138_2025</w:t>
      </w:r>
    </w:p>
    <w:p>
      <w:r>
        <w:t>FR: GE_GERICHTE JTAPI/138/2025 du 5 février 2025</w:t>
      </w:r>
    </w:p>
    <w:p>
      <w:r>
        <w:t>IT: GE_GERICHTE JTAPI/138/2025 del 5 febbraio 2025</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(ATA/1585/2019 du 20 octobre 2019 consid. 2.2).</w:t>
      </w:r>
    </w:p>
    <w:p>
      <w:r>
        <w:t>- 5/8 - A/2919/2024</w:t>
      </w:r>
    </w:p>
    <w:p>
      <w:r>
        <w:rPr>
          <w:b/>
        </w:rPr>
        <w:t>E. 4</w:t>
      </w:r>
    </w:p>
    <w:p>
      <w:r>
        <w:t>Lorsque la qualification d'un acte ou la culpabilité est douteuse, il convient de statuer sur le retrait de permis de conduire après seulement que la procédure pénale soit achevée par une décision entrée en force, car fondamentalement, selon la jurisprudence, l'autorité administrative appelée à prononcer un retrait du permis de conduire est en principe lié par les constatations de fait d'une telle décision, la sécurité du droit commandant en effet d'éviter que l'indépendance du juge pénal et du juge administratif ne conduise à des jugements opposés rendus sur la base des mêmes faits ;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 arrêts du Tribunal fédéral 1C_654/2019 du 6 octobre 2020 consid. 2.1 ; 1C_470/2019 du 31 janvier 2020 consid. 5.1.2 ; ATA/12/2019 du 8 janvier 2019 consid. 9 ; ATA/206/2004 du 9 mars 2004 consid. 3).</w:t>
      </w:r>
    </w:p>
    <w:p>
      <w:r>
        <w:rPr>
          <w:b/>
        </w:rPr>
        <w:t>E. 5</w:t>
      </w:r>
    </w:p>
    <w:p>
      <w:r>
        <w:t>Cela vaut non seulement lorsque le jugement pénal a été rendu au terme d'une procédure publique ordinaire au cours de laquelle les parties ont été entendues et des témoins interrogés, mais également, en principe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elle est tenue, en vertu des règles de la bonne foi, de faire valoir ses moyens dans le cadre de la procédure pénale, le cas échéant, en épuisant les voies de recours à sa disposition, mais ne peut pas attendre la procédure administrative pour exposer ses arguments (ATF 123 II 97 consid. 3c/aa ; arrêts du Tribunal fédéral 1C_654/2019 du 6 octobre 2020 consid. 2.1 ; 1C_403/2020 du 20 juillet 2020 consid. 3 ; 1C_470/2019 du 31 janvier 2020 consid. 5.1.2).</w:t>
      </w:r>
    </w:p>
    <w:p>
      <w:r>
        <w:rPr>
          <w:b/>
        </w:rPr>
        <w:t>E. 6</w:t>
      </w:r>
    </w:p>
    <w:p>
      <w:r>
        <w:t>En l'espèce, le tribunal constate que le recourant a été reconnu coupable de violation simple des règles de la circulation routière (art. 26, 34, et 90 al. 1 LCR) par ordonnance pénale prononcée le 18 avril 2024, laquelle est entrée en force, suite au retrait de l'opposition par l'intéressé. Partant, conformément à la jurisprudence précitée, s'il désapprouvait les faits établis par l'autorité pénale, il lui aurait appartenu de faire valoir ses moyens dans la procédure pénale. C'est dans ce cadre uniquement qu'il pouvait remettre en cause les constatations de la police, notamment en requérant l'administration de moyens de preuve et/ou en en produisant lui-même. Le prononcé pénal n'ayant pas été contesté, il n'est plus fondé à nier la réalisation de l'infraction reprochée dans le cadre de la procédure administrative, étant au demeurant relevé qu'il n'apporte aucun élément de fait ou moyen de preuve nouveau, qu'il n'aurait pu faire valoir dans le cadre de la procédure pénale, susceptible de remettre en cause la décision de l'OCV.</w:t>
      </w:r>
    </w:p>
    <w:p>
      <w:r>
        <w:t>- 6/8 - A/2919/2024</w:t>
      </w:r>
    </w:p>
    <w:p>
      <w:r>
        <w:rPr>
          <w:b/>
        </w:rPr>
        <w:t>E. 7</w:t>
      </w:r>
    </w:p>
    <w:p>
      <w:r>
        <w:t>Lorsque la procédure prévue par la loi fédérale du 24 juin 1970 sur les amendes d'ordre n'est pas applicable, une infraction aux prescriptions sur la circulation routière entraîne le retrait du permis d'élève-conducteur ou du permis de conduire ou un avertissement (al. 2).</w:t>
      </w:r>
    </w:p>
    <w:p>
      <w:r>
        <w:rPr>
          <w:b/>
        </w:rPr>
        <w:t>E. 8</w:t>
      </w:r>
    </w:p>
    <w:p>
      <w:r>
        <w:t>Pour déterminer la durée et s'il y a lieu de prononcer un retrait d'admonestation, la LCR distingue les infractions légères, moyennement graves et graves (art. 16a à 16c LCR).</w:t>
      </w:r>
    </w:p>
    <w:p>
      <w:r>
        <w:rPr>
          <w:b/>
        </w:rPr>
        <w:t>E. 9</w:t>
      </w:r>
    </w:p>
    <w:p>
      <w:r>
        <w:t>Selon l'art. 16a al. 1 let. a LCR, commet en particulier une infraction légère la personne qui, en violant les règles de la circulation, met légèrement en danger la sécurité d'autrui et à laquelle seule une faute bénigne peut être imputée.</w:t>
      </w:r>
    </w:p>
    <w:p>
      <w:r>
        <w:rPr>
          <w:b/>
        </w:rPr>
        <w:t>E. 10</w:t>
      </w:r>
    </w:p>
    <w:p>
      <w:r>
        <w:t>Le niveau de mise en danger qui caractérise l'élément objectif de l’infraction légère de l’art. 16a al. 1 let. a LCR équivaut à une mise en danger (abstraite accrue) légère. Une faute légère correspond à une négligence légère. Un tel cas de figure est par exemple donné lorsque les conditions de circulation sont bonnes, n’inclinant pas un conducteur moyen - c’est-à-dire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(ATA/661/2011 du 18 octobre 2011 et les références citées).</w:t>
      </w:r>
    </w:p>
    <w:p>
      <w:r>
        <w:rPr>
          <w:b/>
        </w:rPr>
        <w:t>E. 11</w:t>
      </w:r>
    </w:p>
    <w:p>
      <w:r>
        <w:t>L’auteur d’une infraction légère fait l’objet d’un avertissement si, au cours des deux années précédentes, le permis de conduire ne lui a pas été retiré et qu’aucune autre mesure administrative n’a été prononcée (art. 16a al. 3 LCR).</w:t>
      </w:r>
    </w:p>
    <w:p>
      <w:r>
        <w:rPr>
          <w:b/>
        </w:rPr>
        <w:t>E. 12</w:t>
      </w:r>
    </w:p>
    <w:p>
      <w:r>
        <w:t>En cas d’infraction particulièrement légère, il est renoncé à toute mesure administrative (art. 16a al. 4 LCR). L’existence d’une faute particulièrement légère, au sens de l’art. 16a al. 4 LCR, ne peut être reconnue qu’avec restriction. De telles circonstances n’existent que lorsqu’un incident routier paraît être plus la conséquence d’un coup du sort que d’une véritable « faute » du conducteur (ATA/661/2011 du 18 octobre 2011 consid. 7c). Elle correspond en pratique souvent au cas de très peu de gravité de l'art. 100 ch. 1 2ème phr. LCR, soit une bagatelle pour laquelle même une amende très modérée apparaîtrait non appropriée et trop sévère (Cédric MIZEL, Les nouvelles dispositions légales sur le retrait du permis de conduire, in RDAF 2004, p. 375).</w:t>
      </w:r>
    </w:p>
    <w:p>
      <w:r>
        <w:t>- 7/8 - A/2919/2024</w:t>
      </w:r>
    </w:p>
    <w:p>
      <w:r>
        <w:rPr>
          <w:b/>
        </w:rPr>
        <w:t>E. 13</w:t>
      </w:r>
    </w:p>
    <w:p>
      <w:r>
        <w:t>En l'occurrence, comme vu plus haut, il est établi que le recourant a commis une infraction légère et les circonstances de sa commission - qui ne sont pas fortuites - ne peuvent constituer une infraction particulièrement légère au sens de l'art. 16a al. 4 LCR autorisant l'autorité à renoncer au prononcé d'une sanction administrative. Dans ces conditions, c'est à juste titre que le recourant, qui n’a pas d’antécédent en matière de circulation routière, a fait l’objet d’un avertissement en application de l’art. 16a al. 3 LCR.</w:t>
      </w:r>
    </w:p>
    <w:p>
      <w:r>
        <w:rPr>
          <w:b/>
        </w:rPr>
        <w:t>E. 14</w:t>
      </w:r>
    </w:p>
    <w:p>
      <w:r>
        <w:t>Entièrement mal fondé, le recours sera rejeté et la décision de l'OCV confirmée.</w:t>
      </w:r>
    </w:p>
    <w:p>
      <w:r>
        <w:rPr>
          <w:b/>
        </w:rPr>
        <w:t>E. 15</w:t>
      </w:r>
    </w:p>
    <w:p>
      <w:r>
        <w:t>Dans la mesure où il succombe, un émolument de CHF 500.- sera mis à la charge du recourant en application de l'art. 87 al. 1 LPA et du règlement sur les frais, émoluments et indemnités en procédure administrative du 30 juillet 1986 (RFPA - E 5 10.03) ; il est couvert par l’avance de frais versée à la suite du dépôt du recours. Vu l’issue du litige, aucune indemnité de procédure ne sera allouée (art. 87 al. 2 LPA).</w:t>
      </w:r>
    </w:p>
    <w:p>
      <w:r>
        <w:t>- 8/8 - A/2919/2024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