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JTAPI/138/2024 vom 19. Februar 2024</w:t>
      </w:r>
    </w:p>
    <w:p>
      <w:r>
        <w:t>GE Cour de justice, 2024-02-19, FR</w:t>
      </w:r>
    </w:p>
    <w:p>
      <w:r>
        <w:rPr>
          <w:b/>
        </w:rPr>
        <w:t xml:space="preserve">Quelle: </w:t>
      </w:r>
      <w:r>
        <w:t>https://mcp.opencaselaw.ch/entscheid/ge_gerichte_JTAPI_138_2024</w:t>
      </w:r>
    </w:p>
    <w:p>
      <w:r>
        <w:t>FR: GE_GERICHTE JTAPI/138/2024 du 19 février 2024</w:t>
      </w:r>
    </w:p>
    <w:p>
      <w:r>
        <w:t>IT: GE_GERICHTE JTAPI/138/2024 del 19 febbraio 2024</w:t>
      </w:r>
    </w:p>
    <w:p>
      <w:pPr>
        <w:pStyle w:val="Heading2"/>
      </w:pPr>
      <w:r>
        <w:t>Erwägungen</w:t>
      </w:r>
    </w:p>
    <w:p>
      <w:r>
        <w:rPr>
          <w:b/>
        </w:rPr>
        <w:t>E. 20</w:t>
      </w:r>
    </w:p>
    <w:p>
      <w:r>
        <w:t>S’agissant de la durée de son séjour, les fiches de salaires relatives à l’activité auprès de l’B______ ne peuvent être retenues comme des preuves de sa présence en Suisse puisqu’il s’avère qu’elles ont été falsifiées. Dès lors, au mieux, une durée de présence interrompue en Suisse depuis juin 2012, date de la délivrance de son premier abonnement des TPG et également du début du versement de cotisations AVS peut être retenue, durée qui ne correspond pas aux dix années requises au moment du dépôt de la requête dans le cadre de l’opération « Papyrus ». Les critères de l'opération « Papyrus » ne sont pas non plus remplis quant à l'exigence de l'absence de condamnation pénale, vu la condamnation du recourant, par ordonnance pénale du 6 juillet 2022, notamment pour tentative d'infraction au sens de l'art. 118 al. 1 LEI. Sous l'angle du cas de rigueur, ce qui a été dit précédemment concernant la durée du séjour du recourant en Suisse reste valable. Ainsi, comme évoqué, on ne saurait au mieux retenir un séjour régulier et continu qu’à partir de juin 2012, soit actuellement depuis un peu plus de onze ans. Si ce séjour peut certes être qualifié de long, il doit néanmoins être fortement relativisé, dès lors que le recourant séjourne en Suisse à la faveur d’une tolérance des autorités depuis le dépôt de sa demande en juillet 2018. En tout état, le recourant ne peut tirer parti de la seule durée de son séjour, qui n’est qu’un élément parmi d’autres à prendre en compte, pour bénéficier d’une dérogation aux conditions d’admission. Son intégration socio-professionnelle ne justifie également pas, à elle seule, l’octroi d’une autorisation de séjour pour cas de rigueur. Certes, il n’émarge pas à l’aide sociale, exerce une activité lucrative lui permettant de subvenir à ses besoins et parle le français ; cependant une telle situation ne revêt aucun caractère exceptionnel. En outre, le recourant, qui travaille dans le domaine du bâtiment, n’établit pas avoir acquis des connaissances et qualifications spécifiques pendant son séjour qu’il ne pourrait pas mettre à profit ailleurs, notamment au Kosovo. Sous l’angle de l’intégration socioculturelle en Suisse, il ne démontre pas l’existence de liens amicaux et affectifs à Genève d’une intensité telle qu’il ne</w:t>
      </w:r>
    </w:p>
    <w:p>
      <w:r>
        <w:t>- 13/15 - A/3395/2023 pourrait être exigé de sa part de poursuivre ses contacts par les moyens de télécommunication modernes une fois de retour au Kosovo, pas plus qu’il se soit fortement investi dans la vie culturelle ou associative genevoise. En tout état, il ne parvient pas à démontrer que sa relation avec la Suisse serait si étroite et profonde que l’on ne pourrait exiger de lui d’aller vivre dans un autre pays, notamment dans son pays d’origine. Au demeurant, le recourant ne peut pas non plus se prévaloir d’un comportement irréprochable. Il a non seulement séjourné et travaillé illégalement en Suisse durant plusieurs années mais été condamné pour ces faits ainsi que, en juillet 2022 pour tentative d’infraction à l’art. 118 al. 1 LEI. Son comportement dénote ainsi un certain mépris pour l’ordre juridique suisse et ses valeurs, ce qui démontre encore un manque d’intégration.</w:t>
      </w:r>
    </w:p>
    <w:p>
      <w:r>
        <w:t>S'il se heurtera sans doute à des difficultés de réadaptation dans son pays d'origine, il ne démontre pas que celles-ci seraient plus graves pour lui que pour n'importe lequel de ses concitoyens qui se trouverait dans une situation similaire. Agé aujourd’hui de 32 ans, il est en bonne santé.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il ne pouvait ignorer, au vu de son statut illicite en Suisse, qu'il pourrait à tout moment être amené à devoir renoncer, en cas de refus de la régularisation de ses conditions de séjour, à tout ce qu’il avait mis en place en Suisse, y compris à son activité professionnelle.</w:t>
      </w:r>
    </w:p>
    <w:p>
      <w:r>
        <w:t>Pour le surplus, les difficultés d'ordre général qu'il pourrait rencontrer au Kosovo,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 Partant, ni l'âge du recourant, ni la durée de son séjour sur le territoire,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Il pourra en tout état s’appuyer sur le soutien de sa famille qui réside encore au Kosovo et qu’il est</w:t>
      </w:r>
    </w:p>
    <w:p>
      <w:r>
        <w:t>- 14/15 - A/3395/2023 régulièrement allé visiter, ayant sollicité onze visas de retour, et en en ayant obtenu cinq.</w:t>
      </w:r>
    </w:p>
    <w:p>
      <w:r>
        <w:rPr>
          <w:b/>
        </w:rPr>
        <w:t>E. 21</w:t>
      </w:r>
    </w:p>
    <w:p>
      <w:r>
        <w:t>Il ressort de ce qui précède que l'OCPM n'a violé ni le droit conventionnel, ni le droit fédéral, ni encore excédé ou abusé de son pouvoir d'appréciation (art. 96 LEI) en refusant de délivrer l'autorisation de séjour sollicitée.</w:t>
      </w:r>
    </w:p>
    <w:p>
      <w:r>
        <w:rPr>
          <w:b/>
        </w:rPr>
        <w:t>E. 22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23</w:t>
      </w:r>
    </w:p>
    <w:p>
      <w:r>
        <w:t>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24</w:t>
      </w:r>
    </w:p>
    <w:p>
      <w:r>
        <w:t>Infondé, le recours sera rejeté et la décision contestée confirmée.</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- 15/15 - A/3395/2023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