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JTAPI/1383/2022 vom 14. Dezember 2022</w:t>
      </w:r>
    </w:p>
    <w:p>
      <w:r>
        <w:t>GE Cour de justice, 2022-12-14, FR</w:t>
      </w:r>
    </w:p>
    <w:p>
      <w:r>
        <w:rPr>
          <w:b/>
        </w:rPr>
        <w:t xml:space="preserve">Quelle: </w:t>
      </w:r>
      <w:r>
        <w:t>https://mcp.opencaselaw.ch/entscheid/ge_gerichte_JTAPI_1383_2022</w:t>
      </w:r>
    </w:p>
    <w:p>
      <w:r>
        <w:t>FR: GE_GERICHTE JTAPI/1383/2022 du 14 décembre 2022</w:t>
      </w:r>
    </w:p>
    <w:p>
      <w:r>
        <w:t>IT: GE_GERICHTE JTAPI/1383/2022 del 14 dicembre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Le département intimé conteste la recevabilité du recours au motif que les recourants n'auraient pas d'intérêt digne de protection à l'annulation de la décision et partant, pas la qualité pour recourir.</w:t>
      </w:r>
    </w:p>
    <w:p>
      <w:r>
        <w:rPr>
          <w:b/>
        </w:rPr>
        <w:t>E. 4</w:t>
      </w:r>
    </w:p>
    <w:p>
      <w:r>
        <w:t>À teneur de l'art. 60 let. b LPA, toute personne qui est touchée directement par une décision et a un intérêt personnel digne de protection à ce qu'elle soit annulée ou modifiée est titulaire de la qualité pour recourir.</w:t>
      </w:r>
    </w:p>
    <w:p>
      <w:r>
        <w:rPr>
          <w:b/>
        </w:rPr>
        <w:t>E. 5</w:t>
      </w:r>
    </w:p>
    <w:p>
      <w:r>
        <w:t>Pour qu’un recours soit recevable, il faut notamment que son auteur soit touché directement par la décision et qu’il ait un intérêt digne de protection à ce que la décision attaquée soit annulée ou modifiée (art. 60 LPA).</w:t>
      </w:r>
    </w:p>
    <w:p>
      <w:r>
        <w:rPr>
          <w:b/>
        </w:rPr>
        <w:t>E. 6</w:t>
      </w:r>
    </w:p>
    <w:p>
      <w:r>
        <w:t>Le recourant doit ainsi avoir un intérêt pratique à l’admission du recours, soit que cette admission soit propre à lui procurer un avantage, de nature économique, matérielle ou idéale (ATF 138 II 162 consid. 2.1.2). Un intérêt purement théorique à la solution d’un problème est de même insuffisant (ATF 144 I 43 consid. 2.1). Le juge est appelé à trancher des cas concrets, et son rôle n’est pas de faire de la doctrine ou de trancher des questions de principe (ATA/370/2022 du 5 avril 2022 consid. 2a).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7</w:t>
      </w:r>
    </w:p>
    <w:p>
      <w:r>
        <w:t>En matière de droit des constructions, le voisin direct de la construction ou de l'installation litigieuse dispose en principe de la qualité pour recourir (ATF 139 II 499 consid. 2.2 ; arrêts du Tribunal fédéral 1C_164/2019 du 20 janvier 2021</w:t>
      </w:r>
    </w:p>
    <w:p>
      <w:r>
        <w:t>- 6/15 - A/1015/2022 consid. 1 ; 1C_206/2019 du 6 août 2019 consid. 3.1 ; 1C_382/2017 du 16 mai 2018 consid. 1.2.1).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arrêts du Tribunal fédéral 2C_727/2016 du 17 juillet 2017 consid. 4.2.3 ; 1C_226/2016 du 28 juin 2017 consid. 1.1). Le recourant doit rendre vraisemblables les nuisances qu’il allègue et sur la réalisation desquelles il fonde une relation spéciale et étroite avec l’objet de la contestation (cf. ATF 125 I 173 consid. 1b ; arrêts du Tribunal fédéral 1C_469/ 2014 du 24 avril 2015 consid. 2.2 ; 1C_453/2014 du 23 février 2015 consid. 4.2 et 4.3).</w:t>
      </w:r>
    </w:p>
    <w:p>
      <w:r>
        <w:rPr>
          <w:b/>
        </w:rPr>
        <w:t>E. 8</w:t>
      </w:r>
    </w:p>
    <w:p>
      <w:r>
        <w:t>Si les normes cantonales ou communales de police des constructions dont le recourant allègue la violation ne doivent pas nécessairement tendre, au moins accessoirement, à la protection de ses intérêts de propriétaire voisin (cf. ATF 127 I 44 consid. 2c p. 46), ce dernier n'est pas pour autant libre d'invoquer n'importe quel grief. Le tiers peut ainsi être habilité à se prévaloir de normes qui ne sont pas destinées à le protéger seulement si l'admission de son grief est susceptible de lui procurer un avantage pratique (ATF 139 II 499 consid. 2.2 ; 137 II 30 consid. 2.2.3-2.3 ; arrêts du Tribunal fédéral 1C_56/2015 du 18 septembre 2015 consid. 4 ; 1C_386/2014 du 13 novembre 2014 consid. 1.2 ; 1C_15/2014 du 8 octobre 2014 consid. 4.1 ; 1C_320/2010 du 9 février 2011 consid. 2.3). Tel est notamment le cas des règles régissant la densité et le volume des constructions, ainsi que de celles relatives aux distances entre les constructions (ATF 127 I 44 consid. 2d ; ATA/284/2016 du 5 avril 2016 consid. 10). A défaut, il ne peut se prévaloir d'un intérêt digne de protection (cf. ATF 139 II 499 consid. 2.2 ; 137 II 30 consid. 2.2.3 ; 133 II 249 consid. 1.3) et il n'y a pas lieu d'entrer en matière sur le grief soulevé (cf. not. arrêts du Tribunal fédéral 1C_27/2018 du 6 avril 2018 consid. 1.1 ; 1C_334/2016 du 18 octobre 2016 consid. 4.1 ; 1C_476/2015 du 3 août 2016 consid. 3.1 ; 1C_337/2015 du 21 décembre 2015 consid. 5 ; 1C_517/2013 du 5 novembre 2013 consid. 5.2 ; 1C_141/2009 du 24 juin 2009 consid. 4.4 ; ATA/93/2021 du 26 janvier 2021 consid. 4b).</w:t>
      </w:r>
    </w:p>
    <w:p>
      <w:r>
        <w:rPr>
          <w:b/>
        </w:rPr>
        <w:t>E. 9</w:t>
      </w:r>
    </w:p>
    <w:p>
      <w:r>
        <w:t>En l’espèce, la parcelle des recourants est voisine de celle destinée à accueillir l'installation litigieuse. S'il n'est pas contesté que celle-ci - à savoir un plancher en bois - prévue au ras du sol ne sera pas visible depuis leur parcelle, les recourants se prévalent de dispositions de droit public des constructions susceptibles d’avoir une incidence concrète sur leur situation de fait, en particulier une violation de l’art. 3 RCI relatif à la densité du projet, de même qu'une violation de l'art. 59 al. 3bis LCI au motif que la surface en pleine terre serait insuffisante, avec la crainte</w:t>
      </w:r>
    </w:p>
    <w:p>
      <w:r>
        <w:t>- 7/15 - A/1015/2022 que l'augmentation de la surface imperméable entraîne l'écoulement des eaux pluviales sur les parcelles voisines, ce qui suffit à leur conférer un intérêt direct à ce que l'autorisation litigieuse soit annulée et leur reconnaître la qualité pour recourir. Partant, le recours est recevable.</w:t>
      </w:r>
    </w:p>
    <w:p>
      <w:r>
        <w:rPr>
          <w:b/>
        </w:rPr>
        <w:t>E. 10</w:t>
      </w:r>
    </w:p>
    <w:p>
      <w:r>
        <w:t>À titre préalable, les recourants sollicitent un transport sur place.</w:t>
      </w:r>
    </w:p>
    <w:p>
      <w:r>
        <w:rPr>
          <w:b/>
        </w:rPr>
        <w:t>E. 11</w:t>
      </w:r>
    </w:p>
    <w:p>
      <w:r>
        <w:t>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4A_108/2012 du 11 juin 2012 consid. 3.2,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w:t>
      </w:r>
    </w:p>
    <w:p>
      <w:r>
        <w:rPr>
          <w:b/>
        </w:rPr>
        <w:t>E. 12</w:t>
      </w:r>
    </w:p>
    <w:p>
      <w:r>
        <w:t>Aux termes de l’art. 67 al. 1 LPA, dès le dépôt du recours, le pouvoir de traiter l’affaire qui en fait l’objet passe à l’autorité de recours. La jurisprudence admet que le tribunal, peut, sur la base des art. 19 et 20 LPA, demander toutes précisions écrites à une instance de préavis, au même titre qu’il peut l’entendre en audience de comparution personnelle ou la convoquer à un transport sur place pour qu’elle</w:t>
      </w:r>
    </w:p>
    <w:p>
      <w:r>
        <w:t>- 8/15 - A/1015/2022 détaille sa position (ATA/414/2017 du 11 avril 2017 consid. 4a ; ATA/1187/2015 du 3 novembre 2015 consid. 3b ; ATA/636/2015 du 16 juin 2015 consid. 4). Cependant, l’ensemble des actes d’instruction ne sont pas obligatoires (cf. not. art. 41 in fine LPA ; ATF 140 I 68 consid. 9.6.1 ; 134 I 140 consid. 5.3 ; arrêts du Tribunal fédéral 5D_204/2016 du 15 mars 2017 consid. 4.4 ; 5A_792/2016 du 23 janvier 2017 consid. 3.4 ; 6B_594/2015 du 29 février 2016 consid. 2.1 ; ATA/1637/2017 du 19 décembre 2017 consid. 3d, s'agissant de l'audition orale des parties ; arrêts du Tribunal fédéral 1C_243/2013 du 27 septembre 2013 consid. 3.2.1 ; 1C_327/2009 du 5 novembre 2009 consid. 3.1 ; ATA/720/2012 du 30 octobre 2012 et ATA/384/2011 du 21 juin 2011, s'agissant de l'inspection locale) dès lors qu’ils n'apparaissent pas indispensables, si le dossier contient déjà les éléments utiles et nécessaires permettant au tribunal de statuer en connaissance de cause sur le litige (ATF 140 I 285 consid. 6.3.1 ; 137 III 208 consid. 2.2 ; 136 I 229 consid. 5.2 ; arrêts du Tribunal fédéral 2C_109/2015, 2C_110/2015 du 1er septembre 2015 consid. 4.1 ; 1C_61/2011 du 4 mai 2011 consid. 3.1).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13</w:t>
      </w:r>
    </w:p>
    <w:p>
      <w:r>
        <w:t>En l'occurrence, le tribunal dispose des éléments nécessaires et suffisants lui permettant de trancher le présent litige en toute connaissance de cause. En effet, la consultation du SITG ainsi que le dossier transmis permettent d'avoir une image suffisamment précise de la situation actuelle et du projet d'installation. Dans ces circonstances, le tribunal, procédant à une appréciation anticipée des preuves, considère qu'un transport sur place ne serait pas de nature à changer sa conviction. En conséquence, la demande de mesure d'instruction tendant à un transport sur place, en soi non obligatoire, sera rejetée.</w:t>
      </w:r>
    </w:p>
    <w:p>
      <w:r>
        <w:rPr>
          <w:b/>
        </w:rPr>
        <w:t>E. 14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w:t>
      </w:r>
    </w:p>
    <w:p>
      <w:r>
        <w:t>- 9/15 - A/1015/2022</w:t>
      </w:r>
    </w:p>
    <w:p>
      <w:r>
        <w:rPr>
          <w:b/>
        </w:rPr>
        <w:t>E. 15</w:t>
      </w:r>
    </w:p>
    <w:p>
      <w:r>
        <w:t>Selon l'art. 59 al. 3bis LCI, une surface en pleine terre, à savoir dénuée de toute construction en surface ou en sous-sol et non revêtue, de la parcelle ou du groupe de parcelles considérées par la demande d’autorisation de construire doit être préservée.</w:t>
      </w:r>
    </w:p>
    <w:p>
      <w:r>
        <w:rPr>
          <w:b/>
        </w:rPr>
        <w:t>E. 16</w:t>
      </w:r>
    </w:p>
    <w:p>
      <w:r>
        <w:t>Cette disposition, entrée en vigueur le 28 novembre 2020 était applicable à la demande d'autorisation de construire l'installation querellée, déposée le 14 janvier 2022 (art. 156 al. 5 LCI), ce qui n'est pas contesté.</w:t>
      </w:r>
    </w:p>
    <w:p>
      <w:r>
        <w:rPr>
          <w:b/>
        </w:rPr>
        <w:t>E. 17</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w:t>
      </w:r>
    </w:p>
    <w:p>
      <w:r>
        <w:rPr>
          <w:b/>
        </w:rPr>
        <w:t>E. 18</w:t>
      </w:r>
    </w:p>
    <w:p>
      <w:r>
        <w:t>Le département a publié en ligne une « Marche à suivre pour la densification de la zone 5, Modalités d’application du nouvel article 59 LCI » (ci-après : la marche à suivre)» (https://www.ge.ch/document/marche-suivre-densification- zone-5-mise-jour-2022) qui selon le communiqué de presse du 19 janvier 2021 précise et restreint les possibilités de dérogation à la densité de la zone villa, dans le but de maîtriser les développements dans le respect de la planification directrice communale et de préserver la qualité environnementale. « Chaque nouvelle construction dans la zone villa participe à la transformation du territoire. Pour préserver la qualité de vie de ces secteurs bénéficiant d'une végétalisation importante, il est nécessaire de mieux prendre en compte le patrimoine naturel et l'environnement existant. Les requérants devront désormais fournir, pour tout projet en zone villa, une information concernant l'indice de verdure (IVER). Celui-ci quantifie les effets induits de la construction sur les trois éléments naturels suivants: pleine terre, stratégie végétale et eau. Désormais, le projet d'autorisation de construire doit fournir une information sur ces éléments naturels, permettant ainsi d’objectiver quantitativement et qualitativement l'impact du projet ». Dans sa version de novembre 2022, la marche à suivre prévoit que « toutes les demandes d’autorisation de construire doivent être accompagnées d’une notice explicative et démontrer en quoi elles préservent la pleine terre, en application de l’article 59, alinéa 3bis LCI. La pleine terre est l’une des composantes de l’indicateur qualitatif de verdure (ci-après IQVER) ».</w:t>
      </w:r>
    </w:p>
    <w:p>
      <w:r>
        <w:t>- 10/15 - A/1015/2022 Sous le chap. A.1.1 Pleine terre et Indicateur qualitatif de verdure (IQVER) de la marche à suivre, il est prévu que « le dossier de demande d'autorisation de construire doit fournir une information concernant la pleine terre et l’IQVER. L’IQVER caractérise les effets induits de la construction sur les trois éléments naturels suivants : pleine terre, stratégie végétale, eau. Une analyse paysagère de la situation existante est produite, afin de pouvoir ensuite décrire l’IQVER du projet dans ses composantes et incidences qualitatives ». La marche à suivre précises les pièces à remettre au DT telles dont notamment un plan de situation avec indication des surfaces en pleine terre (en m2) maintenues ou projetées et des textes explicatifs (p. 11).</w:t>
      </w:r>
    </w:p>
    <w:p>
      <w:r>
        <w:rPr>
          <w:b/>
        </w:rPr>
        <w:t>E. 19</w:t>
      </w:r>
    </w:p>
    <w:p>
      <w:r>
        <w:t>Les recourants reprochent au département d'avoir autorisé le projet litigieux sur la base d'un dossier incomplet dès lors qu'il n'aurait pas sollicité le calcul détaillé de la surface en pleine terre selon la marche à suivre précitée et partant, sans s'assurer du respect de l'IVER, contrevenant ainsi à l'art. 59 al. 3bis LCI. Le département observe quant à lui que l'installation litigieuse, considérée comme un aménagement extérieur, n'est soumise à aucune limitation en matière de rapport des surfaces, que la LCI ne fixe aucun IVER minimum et que la marche à suivre précitée ne fixe pas de valeur stricte mais contient une valeur cible de 40 % de pleine terre.</w:t>
      </w:r>
    </w:p>
    <w:p>
      <w:r>
        <w:rPr>
          <w:b/>
        </w:rPr>
        <w:t>E. 20</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 ATA/1274/2017 du 12 septembre 2017 consid. 5).</w:t>
      </w:r>
    </w:p>
    <w:p>
      <w:r>
        <w:rPr>
          <w:b/>
        </w:rPr>
        <w:t>E. 21</w:t>
      </w:r>
    </w:p>
    <w:p>
      <w:r>
        <w:t>De même, lorsqu'elle estime que l'autorité inférieure est mieux en mesure d'attribuer à une notion juridique indéterminée un sens approprié au cas à juger, l'autorité de recours s'impose une certaine retenue. Il en va ainsi lorsque</w:t>
      </w:r>
    </w:p>
    <w:p>
      <w:r>
        <w:t>- 11/15 - A/1015/2022 l'interprétation de la norme juridique indéterminée fait appel à des connaissances spécialisées ou particulières en matière de comportement, de technique, économique, de subventions et d'utilisation du sol (ATA/896/2021 du 31 août 2021 consid. 4b ; ATA/155/2021 du 9 février 2021 consid. 6b ; ATA/1311/2020 du 15 décembre 2020 consid. 7c ; ATA/1274/2017 du 12 septembre 2017 consid. 6 et la jurisprudence citée).</w:t>
      </w:r>
    </w:p>
    <w:p>
      <w:r>
        <w:rPr>
          <w:b/>
        </w:rPr>
        <w:t>E. 22</w:t>
      </w:r>
    </w:p>
    <w:p>
      <w:r>
        <w:t>En l'espèce, il est constant que les pièces mentionnées dans la marche à suivre établie par le DT, n'ont été ni fournies ni requises. Cela étant, compte tenu de l'objet du projet, à savoir un aménagement extérieur, lequel – comme il sera examiné plus loin – n'est par ailleurs pas soumis à des limitations particulières en terme de rapport de surfaces, le département et les instances de préavis sollicitées pouvaient aisément appréhender sa taille et son impact sur la surface en pleine terre restante en additionnant les différentes surfaces connues comprenant : la maison d'habitation : 82 m2 et la terrasse : 20 m2, à celle prévue pour le nouveau support pour piscine : 30 m2 et conclure que l'occupation du sol atteindrait 132 m2 soit environ 46% de surface de la parcelle, et parvenir à la conclusion que le solde de la surface en pleine terre préservée d'environ 54 % atteint la cible visée par la marche à suivre. Partant, il ne peut être reproché au département un défaut dans l'instruction du dossier. De plus, en suivant les préavis favorables de l'OCEau et de l'OCAN, il n'apparait pas que le DT aurait excédé son pouvoir d'appréciation et contrevenu à l'art. 59 al. 3bis LCI en considérant qu'une surface en pleine terre atteignant la cible visée par la marche à suivre était préservée nonobstant la réalisation du projet, étant rappelé que l'autorisation prévoit précisément la plantation d'un arbre en remplacement d'un cèdre abattu ni en estimant que l'installation en question n'entrainera pas d'inconvénients graves pour les recourants en terme de perméabilité du terrain et en particulier d'écoulement des eaux pluviales. Partant, ce grief sera lui aussi rejeté.</w:t>
      </w:r>
    </w:p>
    <w:p>
      <w:r>
        <w:rPr>
          <w:b/>
        </w:rPr>
        <w:t>E. 23</w:t>
      </w:r>
    </w:p>
    <w:p>
      <w:r>
        <w:t>Les recourants invoquent une violation de l'art. 3 RCI. Ils font en particulier valoir que les plans remis par les requérants ne permettent pas de déterminer si le cumul des surfaces des CDPI, à savoir la piscine et le patio couvert ou le patio couvert et le support destiné à accueillir la piscine, respecte la limite de 8% de la surface de la parcelle considérée.</w:t>
      </w:r>
    </w:p>
    <w:p>
      <w:r>
        <w:rPr>
          <w:b/>
        </w:rPr>
        <w:t>E. 24</w:t>
      </w:r>
    </w:p>
    <w:p>
      <w:r>
        <w:t>À teneur de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w:t>
      </w:r>
    </w:p>
    <w:p>
      <w:r>
        <w:rPr>
          <w:b/>
        </w:rPr>
        <w:t>E. 25</w:t>
      </w:r>
    </w:p>
    <w:p>
      <w:r>
        <w:t>Selon l’art. 1 al. 4 LCI, en zone à bâtir, l’édification de constructions de très peu d’importance telles que définies par l’al. 5 n’est pas soumise à autorisation de</w:t>
      </w:r>
    </w:p>
    <w:p>
      <w:r>
        <w:t>- 12/15 - A/1015/2022 construire. Demeurent réservées les dispositions relatives à la protection du patrimoine.</w:t>
      </w:r>
    </w:p>
    <w:p>
      <w:r>
        <w:rPr>
          <w:b/>
        </w:rPr>
        <w:t>E. 26</w:t>
      </w:r>
    </w:p>
    <w:p>
      <w:r>
        <w:t>Sont réputées constructions de très peu d’importance au sens de l’al. 4 : a) les cabanes amovibles de dimension modeste, soit de l’ordre de 5 m2 au sol et 2 m de hauteur; b) les pergolas non couvertes; c) les antennes paraboliques dont le diamètre n’excède pas 90 cm pour les installations individuelles et 130 cm pour les installations collectives; d) en cinquième zone, la création de jours inclinés en toiture d’une surface totale inférieure à 1 m2 (art. 1 al. 5 LCI).</w:t>
      </w:r>
    </w:p>
    <w:p>
      <w:r>
        <w:rPr>
          <w:b/>
        </w:rPr>
        <w:t>E. 27</w:t>
      </w:r>
    </w:p>
    <w:p>
      <w:r>
        <w:t>Selon l’art. 3 al. 3 RCI, sont réputées constructions de peu d’importance,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Dans tous les cas, la surface totale des CDPI ne doit pas excéder 8% de la surface de la parcelle et au maximum 100 m2.</w:t>
      </w:r>
    </w:p>
    <w:p>
      <w:r>
        <w:rPr>
          <w:b/>
        </w:rPr>
        <w:t>E. 28</w:t>
      </w:r>
    </w:p>
    <w:p>
      <w:r>
        <w:t>Les CDPI font l’objet d’une directive du département du 3 février 2014, modifiée d’abord le 10 mars 2017 sous le numéro 024-v5, puis le 9 mars 2021 sous le numéro 024-v7. Cette dernière version comporte quelques ajouts issus de la jurisprudence (ATA/805/2020 du 25 août 2020 ; ATA/1300/2019 du 27 août 2019 consid. 4e), mais ne change pas le contenu de la version antérieure, en particulier s’agissant de la prise en compte des avant-toits et des éléments en saillie du bâtiment principal. (ATA/791/2022 du 9 août 2022 consid. 4b ; ATA/927/2021 du 7 septembre 2021 consid. 3b).</w:t>
      </w:r>
    </w:p>
    <w:p>
      <w:r>
        <w:rPr>
          <w:b/>
        </w:rPr>
        <w:t>E. 29</w:t>
      </w:r>
    </w:p>
    <w:p>
      <w:r>
        <w:t>La directive CDPI a pour but de préciser le type de construction considéré comme telles et la manière de calculer les surfaces, hauteur et de prendre en compte les avant-toits ainsi que les éléments en saillies du bâtiment principal tels que les couvert, balcon, terrasse, surplomb d’étage. Sont réputées CDPI, selon cette directive, « les garages, ateliers non professionnels, couverts à voitures, couverts de plaisance, couverts à bois, abris ou cabanes de jardin, pool-house » (cf. arrêt du Tribunal fédéral 1C_159/2020 du 5 octobre 2020 consid. 4.2 ; ATA/1305/2018 du 4 décembre 2018 consid. 6a). Ladite directive précise que les constructions de très</w:t>
      </w:r>
    </w:p>
    <w:p>
      <w:r>
        <w:t>- 13/15 - A/1015/2022 peu d’importance au sens de l’art. 1 al. 3 [recte : 5] LCI, telles que les cabanes amovibles de moins de 5 m2, ainsi que les jardins d’hiver au sens de l’art. 59 al. 3 LCI, ne sont pas à prendre en compte par l’art. 3 al. 3 RCI. Il en est de même pour les pergolas.</w:t>
      </w:r>
    </w:p>
    <w:p>
      <w:r>
        <w:rPr>
          <w:b/>
        </w:rPr>
        <w:t>E. 30</w:t>
      </w:r>
    </w:p>
    <w:p>
      <w:r>
        <w:t>S’agissant des éléments en saillie, il découle des schémas de la directive CDPI y relatifs que la surface prise en compte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les corniches (let. b), les balcons et tout autre avant-corps de la façade (let. d).</w:t>
      </w:r>
    </w:p>
    <w:p>
      <w:r>
        <w:rPr>
          <w:b/>
        </w:rPr>
        <w:t>E. 31</w:t>
      </w:r>
    </w:p>
    <w:p>
      <w:r>
        <w:t>Dans le cadre de l’application de l’art. 3 al. 3 RCI, la jurisprudence a déjà été amenée à préciser que les surfaces déterminantes étaient celles de l’emprise au sol d’une construction (ATA/927/2021 du 7 septembre 2021 consid. 3b et les références citées). S’agissant des balcons/terrasses, elle a jugé que les surfaces des balcons/terrasses du premier étage - et du deuxième étage -, qui sont superposés à ceux du rez-de- 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(cf. ATA/791/2022 du 9 août 2022 consid. 4c ; ATA/927/2021 du 7 septembre 2021 consid. 3b ; ATA/1300/2019 du 27 août 2019 consid. 4e ; ATA/1304/2018 du 4 décembre 2018 consid. 9g). Elle a également considéré que les terrasses situées au niveau du sol - et non soutenues par des poteaux - ne pouvaient être assimilées au cas de figure relatif au surplomb d’étage (p. 4 de la directive CDPI, croquis en bas à gauche) et qu’elles devaient ainsi être comptabilisées comme des CDPI. Dans cette cause, les terrasses situées au niveau du sol n’étaient en effet pas surplombées d’étages habitables, mais de balcons comme dans les schémas relatifs aux « balcon/terrasse &gt; 1.50 » (p. 4 de la directive CDPI, deuxième ligne). En outre, en l’absence de poteau ou de mur soutenant les balcons/terrasses, le département pouvait tenir compte de la déduction de 1,50 m de profondeur comme cela était prévu dans la directive (p. 4 de la directive CDPI, deuxième ligne, croquis du milieu), à l’instar de la distance maximale autorisée par l’art. 25 al. 1 let. b et let. d ch. 2 RCI (ATA/1300/2019 précité consid. 5).</w:t>
      </w:r>
    </w:p>
    <w:p>
      <w:r>
        <w:rPr>
          <w:b/>
        </w:rPr>
        <w:t>E. 32</w:t>
      </w:r>
    </w:p>
    <w:p>
      <w:r>
        <w:t>À une autre occasion, la chambre administrative a retenu qu’une entrée de garage souterrain, à ciel ouvert, avec un muret de soutènement, était un aménagement extérieur qui ne répondait pas à la définition de CDPI et ne correspondait par ailleurs à aucun des schémas de la directive CDPI (ATA/93/2021 du 26 janvier</w:t>
      </w:r>
    </w:p>
    <w:p>
      <w:r>
        <w:t>- 14/15 - A/1015/2022 2021 consid. 10). Dans ce sens, le tribunal de céans a jugé que les surfaces aménagées au sol et destinées à la circulation et au stationnement des véhicules ainsi qu’au cheminement des piétons ne constituaient pas des CDPI (JTAPI/489/2022 du 11 mai 2022 ; JTAPI/377/2022 du 13 avril 2022). Dans une jurisprudence récente, la chambre administrative a enfin retenu qu’une piscine préexistante, ne pouvait être qualifiée de CDPI, d’une part parce que sa surface dépassait les 50 m2 et d’autre part parce qu’elle ne constituait pas une construction selon la définition donnée à l’art. 3 al. 3 pour les CDPI (ATA/791/2022 du 9 août 2022 consid. 4c).</w:t>
      </w:r>
    </w:p>
    <w:p>
      <w:r>
        <w:rPr>
          <w:b/>
        </w:rPr>
        <w:t>E. 33</w:t>
      </w:r>
    </w:p>
    <w:p>
      <w:r>
        <w:t>En l'espèce, c'est à juste titre que le DT n'a pas pris en compte la surface du support litigieux qui ne saurait être qualifié de CDPI. Il s'agit en effet d'un aménagement extérieur au sol, non couvert et sans émergence. La surface de cet objet, à l’instar de celle d’une pergola ou de surfaces aménagées au sol destinées au stationnement des véhicules, n’entre donc pas en considération pour le calcul des CDPI. Infondé, ce grief sera rejeté.</w:t>
      </w:r>
    </w:p>
    <w:p>
      <w:r>
        <w:rPr>
          <w:b/>
        </w:rPr>
        <w:t>E. 34</w:t>
      </w:r>
    </w:p>
    <w:p>
      <w:r>
        <w:t>Enfin, à ce stade, rien ne permet de conclure que la condition posée par l'OCAN, à savoir la plantation d'un arbre en remplacement d'un cèdre pleureur dont l'abattage avait été autorisé, ne sera pas réalisée à satisfaction par les intimés, étant rappelé qu'à défaut, ces derniers devraient, selon l'instance précitée, démolir le support autorisé.</w:t>
      </w:r>
    </w:p>
    <w:p>
      <w:r>
        <w:rPr>
          <w:b/>
        </w:rPr>
        <w:t>E. 35</w:t>
      </w:r>
    </w:p>
    <w:p>
      <w:r>
        <w:t>Partant, ce grief prématuré sera également écarté.</w:t>
      </w:r>
    </w:p>
    <w:p>
      <w:r>
        <w:rPr>
          <w:b/>
        </w:rPr>
        <w:t>E. 36</w:t>
      </w:r>
    </w:p>
    <w:p>
      <w:r>
        <w:t>Enfin, rien ne permet de considérer que l'autorisation délivrée serait nulle de plein droit, les recourants n'apportant d'ailleurs aucun élément à ce sujet.</w:t>
      </w:r>
    </w:p>
    <w:p>
      <w:r>
        <w:rPr>
          <w:b/>
        </w:rPr>
        <w:t>E. 37</w:t>
      </w:r>
    </w:p>
    <w:p>
      <w:r>
        <w:t>Pour toutes ces raisons, le recours sera rejeté et l'autorisation de construire confirmée.</w:t>
      </w:r>
    </w:p>
    <w:p>
      <w:r>
        <w:rPr>
          <w:b/>
        </w:rPr>
        <w:t>E. 38</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r>
        <w:t>- 15/15 - A/1015/2022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