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JTAPI/1363/2023 vom 3. Juli 2020</w:t>
      </w:r>
    </w:p>
    <w:p>
      <w:r>
        <w:t>GE Cour de justice, 2020-07-03, FR</w:t>
      </w:r>
    </w:p>
    <w:p>
      <w:r>
        <w:rPr>
          <w:b/>
        </w:rPr>
        <w:t xml:space="preserve">Quelle: </w:t>
      </w:r>
      <w:r>
        <w:t>https://mcp.opencaselaw.ch/entscheid/ge_gerichte_JTAPI_1363_2023</w:t>
      </w:r>
    </w:p>
    <w:p>
      <w:r>
        <w:t>FR: GE_GERICHTE JTAPI/1363/2023 du 3 juillet 2020</w:t>
      </w:r>
    </w:p>
    <w:p>
      <w:r>
        <w:t>IT: GE_GERICHTE JTAPI/1363/2023 del 3 luglio 2020</w:t>
      </w:r>
    </w:p>
    <w:p>
      <w:pPr>
        <w:pStyle w:val="Heading2"/>
      </w:pPr>
      <w:r>
        <w:t>Erwägungen</w:t>
      </w:r>
    </w:p>
    <w:p>
      <w:r>
        <w:rPr>
          <w:b/>
        </w:rPr>
        <w:t>E. 1</w:t>
      </w:r>
    </w:p>
    <w:p>
      <w:r>
        <w:t>Le Tribunal administratif de première instance connaît des recours dirigés contre les décisions prises en application de la LRoutes ou de ses dispositions d'application, comme en l'espèce.</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d’un recours suppose encore que son auteur dispose de la qualité pour recourir, ce qui doit être examiné d'office par l'autorité de recours (ATF 135 II 369 consid. 3.3).</w:t>
      </w:r>
    </w:p>
    <w:p>
      <w:r>
        <w:rPr>
          <w:b/>
        </w:rPr>
        <w:t>E. 3.1</w:t>
      </w:r>
    </w:p>
    <w:p>
      <w:r>
        <w:t>; 135 V 382 consid. 3.3.1), la qualité pour recourir suppose que le tiers tire lui- même un désavantage immédiat de la décision contestée; à cet égard, le fait qu'il soit créancier du destinataire de la décision ne suffit pas (ATF 137 III 67 consid.</w:t>
      </w:r>
    </w:p>
    <w:p>
      <w:r>
        <w:rPr>
          <w:b/>
        </w:rPr>
        <w:t>E. 3.5</w:t>
      </w:r>
    </w:p>
    <w:p>
      <w:r>
        <w:t>; 130 V 560 consid. 3.5 ; arrêt du Tribunal fédéral 2C_1007/2018 du 16 octobre 2019 consid. 5.2). De manière générale, il convient de retenir qu'une simple relation contractuelle entre le destinataire de la décision et le tiers recourant ne crée pas en soi la qualité pour recourir de ce dernier: les répercussions contractuelles ou les conséquences d'une obligation imposée au destinataire ne constituent ainsi qu'une atteinte indirecte (cf. ATF 130 V 560 consid. 3.5; RENÉ WIEDERKEHR/STEFA N EGGENSCHWILER, Die allgemeine Beschwerdebefugnis Dritter, 2018, n° 291 p. 88). La jurisprudence a reconnu une qualité pour recourir du tiers, en raison de sa relation étroite avec la contestation, en cas de responsabilité solidaire avec le destinataire de la décision (cf. arrêt 9C_752/2012 du 27 décembre 2012 consid.</w:t>
      </w:r>
    </w:p>
    <w:p>
      <w:r>
        <w:rPr>
          <w:b/>
        </w:rPr>
        <w:t>E. 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(ATA/868/2022 du 30 août 2022 consid. 2a ; ATA/1392/2021 du 21 décembre 2021 consid. 2a).</w:t>
      </w:r>
    </w:p>
    <w:p>
      <w:r>
        <w:rPr>
          <w:b/>
        </w:rPr>
        <w:t>E. 4.1</w:t>
      </w:r>
    </w:p>
    <w:p>
      <w:r>
        <w:t>et 4.2 ; ATA/147/2021 du 09 février 2021 consid. 3). 9. En l'espèce, la recourante n'est pas destinataire de la décision contestée. Seul M. C______, exclusivement au bénéfice de la permission du 16 janvier 2017 qui lui a été adressée à F______, en sa qualité de titulaire de l'autorisation d'exploiter, en est le destinataire. Le fait que les envois subséquents de l'autorité intimée destinés à M. C______ ainsi que la décision querellée aient été adressés à son intention chez la recourante, ne permet pas de retenir qu'elle souhaitait en réalité s'adresser à cette dernière ou qu'elle était titulaire de l'autorisation d'exploiter. Au contraire, si cela avait été le cas et si l'autorité intimée avait considéré que la SA était bénéficiaire de la permission du 16 janvier 2017 et titulaire de l'autorisation d'exploiter, elle lui aurait adressé directement ses envois, par l'entremise de son administrateur par exemple, ce qu'elle n'a jamais fait. Elle l'aurait également inscrite comme titulaire de l'autorisation d'exploiter sur la permission du 16 janvier 2017, ce qui n'est pas le cas, seul M. C______ étant nommé à ce titre. Par ailleurs, il ne ressort pas du dossier que l'autorité intimée se serait adressée, ne serait-ce qu'à une reprise, à la recourante dans le cadre de la permission du 16 janvier 2017 et du respect de celle-ci. Il s'ensuit que la recourante doit être considérée comme un tiers dans la procédure. Reste donc à examiner si l'on se trouverait dans une situation permettant d'admettre exceptionnellement la qualité pour recourir au tiers non destinataire de la décision contestée (cf. supra consid. 7 et 8). Rien n'indique, et la recourante ne l'allègue d'ailleurs pas, qu'elle serait la réelle créancière de l'amende infligée à M. C______ ou que celle-ci aurait des</w:t>
      </w:r>
    </w:p>
    <w:p>
      <w:r>
        <w:t>- 8/9 - A/320/2023 répercussions sur elle, issues d'une obligation contractuelle dans le cadre d'une refacturation par exemple. En tout état, cela ne constituerait que des atteintes indirectes insuffisantes pour lui conférer la qualité pour recourir au sens de la jurisprudence précitée. Par ailleurs, la recourante n'est pas, tant sous l'angle du droit public que du droit privé, débiteur solidaire de l'amende litigieuse auprès de l'autorité intimée. En effet, la LRoutes ne connaît pas de mécanisme de solidarité du paiement de l'amende entre la personne morale et celle qui a agi en son nom, ce qui n'est pas le cas en l'espèce, à l'instar de la loi sur les constructions et les installations diverses du 14 avril 1988 (LCI - L 5 05) à son art. 137 al. 4 ou de la loi sur les démolitions, transformations et rénovations de maisons d'habitation (mesures de soutien en faveur des locataires et de l'emploi) du 25 janvier 1996 (LDTR - L 5 20) à son art. 44 al. 3 (cf. ATA/147/2021 du 09 février 2021 consid. 3). Seuls sont solidaires les copropriétaires d'immeuble (art. 89 LRoutes). On ne saurait à l'évidence pas non plus retenir que la recourante serait, à l'instar du locataire subissant une coupure de courant consécutive à des impayés de son bailleur, atteint avec une intensité telle qu'il faudrait considérer que c'est lui- même, et non pas le destinataire de la décision contestée, qui est touché au premier plan par celle-ci. Il découle de ce qui précède que la recourante, faute d'être touchée directement par la décision litigieuse, ne peut se prévaloir d'un rapport suffisamment étroit et direct avec l'objet de la contestation qui serait digne de protection au regard des strictes exigences de recevabilité posées en matière de recours de tiers "pro Adressat". 10. Partant, le recours sera déclaré irrecevable.</w:t>
      </w:r>
    </w:p>
    <w:p>
      <w:r>
        <w:rPr>
          <w:b/>
        </w:rPr>
        <w:t>E. 5</w:t>
      </w:r>
    </w:p>
    <w:p>
      <w:r>
        <w:t>La qualité pour recourir fondée sur l'art. 60 al. 1 let. b LPA correspond à celle de l'art. 89 al. 1 let. b et c LTF (ATF 144 I 43 consid. 2.1). Selon cette dernière</w:t>
      </w:r>
    </w:p>
    <w:p>
      <w:r>
        <w:t>- 6/9 - A/320/2023 disposition, a qualité pour former un recours en matière de droit public quiconque est particulièrement atteint par la décision et a un intérêt digne de protection à son annulation ou à sa modification, soit un intérêt personnel et actuel, à voir le juge statuer sur ses conclusions.</w:t>
      </w:r>
    </w:p>
    <w:p>
      <w:r>
        <w:rPr>
          <w:b/>
        </w:rPr>
        <w:t>E. 6</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A/320/2023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