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JTAPI/1353/2022 vom 1. Dezember 2022</w:t>
      </w:r>
    </w:p>
    <w:p>
      <w:r>
        <w:t>GE Cour de justice, 2022-12-01, FR</w:t>
      </w:r>
    </w:p>
    <w:p>
      <w:r>
        <w:rPr>
          <w:b/>
        </w:rPr>
        <w:t xml:space="preserve">Quelle: </w:t>
      </w:r>
      <w:r>
        <w:t>https://mcp.opencaselaw.ch/entscheid/ge_gerichte_JTAPI_1353_2022</w:t>
      </w:r>
    </w:p>
    <w:p>
      <w:r>
        <w:t>FR: GE_GERICHTE JTAPI/1353/2022 du 1 décembre 2022</w:t>
      </w:r>
    </w:p>
    <w:p>
      <w:r>
        <w:t>IT: GE_GERICHTE JTAPI/1353/2022 del 1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décision litigieuse se fonde, d'une part, sur le principe de prévention concrétisé par l'art. 11 al. 2 de la loi fédérale sur la protection de l’environnement du 7 octobre 1983 (loi sur la protection de l’environnement, LPE - RS 814.01) et, d'autre part, sur le caractère prétendument inesthétique de l'installation projetée. Hormis ces deux aspects, la recourante a également produit durant la présente procédure la fiche de données spécifique au site, ce qui a conduit l'autorité intimée à soutenir que ce document impliquait de toute manière une instruction auprès du SABRA et que le tribunal ne pouvait en examiner la pertinence en première instance. Cette question sera évoquée après l'examen du principe de prévention et de ses incidences dans la présente procédure.</w:t>
      </w:r>
    </w:p>
    <w:p>
      <w:r>
        <w:rPr>
          <w:b/>
        </w:rPr>
        <w:t>E. 4</w:t>
      </w:r>
    </w:p>
    <w:p>
      <w:r>
        <w:t>En droit fédéral, la protection contre les effets nocifs ou gênants causés notamment par les rayonnements non ionisants issus des antennes de téléphonie mobile est régie par la LPE et les ordonnances qui en découlent (cf. ATF 138 II 173 consid. 5.1 ; arrêt 1C_97/2018 du 3 septembre 2019 consid. 3.1 ; J. DRITTENBASS, op.cit., p. 140).</w:t>
      </w:r>
    </w:p>
    <w:p>
      <w:r>
        <w:t>- 12/25 - A/3960/2020 Selon l'art. 1 al. 1 LPE, la loi sur la protection de l'environnement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 Pour l'évaluation des effets nocifs ou gênants, le Conseil fédéral fixe par voie d'ordonnance des valeurs limites d'immission (art. 13 al. 1 LPE). Selon l'art. 14 let. a LPE, les valeurs limites d'immission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5</w:t>
      </w:r>
    </w:p>
    <w:p>
      <w:r>
        <w:t>Sur la base de la délégation de compétence de l'art. 13 al. 1 LPE, le Conseil fédéral a édicté l'ordonnance sur la protection contre le rayonnement non ionisant du 23 décembre 1999 (ORNI - RS 814.710)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valeurs limites d'immission qui doivent être respectées partout où des personnes peuvent être présentes (art. 13 al. 1 et annexe 2 ORNI ; ATF 126 II 399 consid. 3a ; arrêt du Tribunal fédéral 1C_627/2019 du 6 octobre 2020 consid. 3.1). En outre, le Conseil fédéral a fixé des valeurs limites d'installation pour concrétiser le principe de précaution en vertu de l'art. 11 al. 2 LPE, ces valeurs s'entendant également pour les antennes adaptatives au sujet desquelles l'ORNI a été modifiée le 17 décembre 2021 avec entrée en vigueur des nouvelles dispositions le 1er janvier 2022 (Recueil officiel RO 2021 901) (art. 3 al. 6 et art. 4 al. 1, ainsi que l'annexe 1 ch. 62, 63 et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w:t>
      </w:r>
    </w:p>
    <w:p>
      <w:r>
        <w:t>- 13/25 - A/3960/2020 sont que soupçonnés et pas encore prévisibles (ATF 126 II 399 consid. 3b ; arrêt du Tribunal fédéral 1C_627/2019 du 6 octobre 2020 consid. 3.1). Avec les valeurs limites d'installation, le Conseil fédéral a créé une marge de sécurité par rapport aux dangers avérés pour la santé (cf. ATF 128 II 378 consid. 6.2.2 ; arrêts du Tribunal fédéral 1C_627/2019 du 6 octobre 2020 consid. 3.1 ; 1C_576/2016 du 27 octobre 2017 consid. 3.5.1). Dans les locaux à utilisation sensible (LUS), les installations de radiocommunication mobile doivent toujours respecter la valeur limite d'installation d'une installation donnée (art. 3 al. 3 et al. 6, art. 4 al. 1 et annexe 1 ch. 65 ORNI ; cf. ATF 128 II 378 consid. 6.2.2 ; arrêt du Tribunal fédéral 1C_627/2019 du 6 octobre 2020 consid. 3.1). L'annexe 1 ch. 62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Selon l'al. 4, le périmètre d’un groupe d’antennes est une surface horizontale formée par les cercles de rayon r autour de chaque antenne du groupe d’antennes. La valeur du rayon r, exprimée en mètres, se calcule selon la formule: r = F √ ; explication des symboles: a. F: facteur de fréquence. Il vaut: 1. 2,63 pour les groupes d’antennes qui émettent exclusivement dans la gamme de fréquence autour de 900 MHz ou dans des gammes de fréquence plus basses, 2. 1,76 pour les groupes d’antennes qui émettent exclusivement dans la gamme de fréquence autour de 1800 MHz ou dans des gammes de fréquence plus élevées, 3. 2,10 pour tous les autres groupes d’antennes; b. ERP90: ERP cumulée, exprimée en W, émise par les antennes d’un groupe d’antennes dans un secteur azimutal de 90° dans le mode d’exploitation déterminant; le secteur azimutal déterminant est celui dans lequel est émise l’ERP cumulée la plus élevée. Selon l'al. 5, par modification d’une installation, on entend: a. la modification de l’emplacement d’antennes émettrices; b. le remplacement d’antennes émettrices par d’autres ayant un diagramme d’antenne différent;</w:t>
      </w:r>
    </w:p>
    <w:p>
      <w:r>
        <w:t>- 14/25 - A/3960/2020 c. l’extension par ajout d’antennes émettrices; d. l’augmentation de l’ERP au-delà de la valeur maximale autorisée, ou e. la modification des directions d’émission au-delà du domaine angulaire autorisé. L’application d’un facteur de correction aux antennes émettrices adaptatives existantes en vertu du ch. 63, al. 2, n’est pas considérée comme une modification d’une installation (annexe 1 ch. 62 al. 5bis ORNI). Par antennes émettrices adaptatives, on entend les antennes émettrices exploitées de sorte que leur direction d’émission ou leur diagramme d’antenne est adapté automatiquement selon une périodicité rapprochée (annexe 1 ch. 62 al. 6 ORNI). L'annexe 1 ch. 63 ORNI prévoit que par mode d’exploitation déterminant, on entend le mode d’exploitation dans lequel un maximum de conversations et de données est transféré, l’émetteur étant au maximum de sa puissance (al. 1). S’agissant des antennes émettrices adaptatives qui possèdent au moins huit sous- 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(al. 2).</w:t>
      </w:r>
    </w:p>
    <w:p>
      <w:r>
        <w:rPr>
          <w:b/>
        </w:rPr>
        <w:t>E. 6</w:t>
      </w:r>
    </w:p>
    <w:p>
      <w:r>
        <w:t>Selon l'annexe 1 ch. 63 al. 3 ORNI, les facteurs de correction KAA suivants s’appliquent: Nombre de sub arrays Facteur de correction KAA 64 et plus ≥ 0,10 32 à 63 ≥ 0,13 16 à 31 ≥ 0,20</w:t>
      </w:r>
    </w:p>
    <w:p>
      <w:r>
        <w:rPr>
          <w:b/>
        </w:rPr>
        <w:t>E. 8</w:t>
      </w:r>
    </w:p>
    <w:p>
      <w:r>
        <w:t>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 Sur cette base, l'OFEV a publié le 23 février 2021 un document intitulé « Explications concernant les antennes adaptatives et leur évaluation selon l’ordonnance sur la protection contre le rayonnement non ionisant (ORNI) » (ci- après: explications OFEV - https://www.newsd.admin.ch/newsd/ message/attachments/65389.pdf; consulté le 22 septembre 2022). Il y est notamment fait état de deux études effectuées à l'étranger en 2019 et 2020 ainsi que de mesures et simulations réalisées par l'office fédéral de la communication durant l'été 2020 sur deux antennes adaptatives autorisées de deux opérateurs différents. L'OFEV retient en conclusion, sur la base des résultats de diverses études de simulation et de mesures réalisées entre 2017 et 2020, que « Les puissances d’émission moyennes des antennes adaptatives (avec différents nombres d’éléments d’antenne), calculées sur six minutes, se situent, selon le scénario, dans une plage comprise entre environ 1 % (0,01 ou -20 dB) et 50 % (0,5 ou -3 dB) de la puissance maximale théorique. L’éventail des résultats des études est très large. En ce qui concerne les antennes réseau 8×8, les puissances émettrices déterminées se situent généralement entre environ 10 % (0,1 ou -10</w:t>
      </w:r>
    </w:p>
    <w:p>
      <w:r>
        <w:t>- 16/25 - A/3960/2020 dB) et 32 % (0,32 ou -5 dB) de la puissance maximale théorique. Les études ont également montré que la différence entre la puissance d’émission maximale déterminée et la puissance d’émission maximale théorique dépend de la taille de l’antenne, c’est-à-dire du nombre d’unités d’antenne activables indépendamment (réseaux ou sub arrays). On a calculé, sur la base d’études portant sur différentes tailles d’antennes, un facteur de correction gradué pouvant être appliqué à la puissance d’émission maximale possible des antennes adaptatives » (Explications OFEV, p. 17 à 20). Egalement en date du 23 février 2021, l'OFEV a publié un rapport intitulé « Antennes adaptative – Complément à la recommandation d'exécution de l'ordonnance sur la protection contre le rayonnement non ionisant (ORNI) concernant les stations de base pour téléphonie mobile et raccordements sans fil (WLL) de l'OFEFP [actuellement : OFEV] de 2002 » (ci-après: le complément – https://www.newsd.admin.ch/ newsd/message/attachments/65394.pdf; consulté le 22 septembre 2022).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rPr>
          <w:b/>
        </w:rPr>
        <w:t>E. 9</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w:t>
      </w:r>
    </w:p>
    <w:p>
      <w:r>
        <w:t>- 17/25 - A/3960/2020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apparente rayonnée (ERP ;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valeur limite de l'installation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 Il sied également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w:t>
      </w:r>
    </w:p>
    <w:p>
      <w:r>
        <w:t>- 18/25 - A/3960/2020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electrosmog/info- specialistes/mesures-contre-l-electrosmog/assurance-de-la-qualite-en-ce-qui- concerne-le-respect-des-valeur.html; consulté le 22 septembre 2022). 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10</w:t>
      </w:r>
    </w:p>
    <w:p>
      <w:r>
        <w:t>Au sujet des risques pour la santé, la jurisprudence du Tribunal fédéral retient que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(arrêts 1C_518/2018 du 14 avril 2020 consid. 5.1.1 ; 1C_348/2017 du 21 février 2018 consid. 4 ; 1C_118/2010 du 20 octobre 2010 consid. 4.2.3). Cela étant, vu la marge de manœuvre dont dispose le Conseil fédéral pour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en-dessous des valeurs limites de l'ORNI (Martin RÖÖSLI, Gesundheitsgefährdungsabschätzung: Auswirkungen von nichtionisierender</w:t>
      </w:r>
    </w:p>
    <w:p>
      <w:r>
        <w:t>- 19/25 - A/3960/2020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 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11</w:t>
      </w:r>
    </w:p>
    <w:p>
      <w:r>
        <w:t>S'agissant des développements les plus récents, le consortium de projet SwissNIS, sur mandat de l'OFEV, a rendu le 24 mai 2022 son premier rapport de monitoring sur les mesures d'exposition aux rayonnements non ionisants (https://www.newsd.admin.ch/newsd/message/ attachments/71991.pdf ; consulté le 22 septembre 2022). L'OFEV considère que « Les premiers résultats du rapport de monitoring montrent que la protection de la santé est garantie. Dans les lieux fréquentés de manière habituelle, les intensités de champ se situent clairement en- dessous de la valeur limite d'immission. Les valeurs les plus élevées ont été mesurées aux stations de tram, dans les zones industrielles et au centre des grandes villes, tandis que les valeurs les plus faibles ont été enregistrées dans les zones agricoles et dans les espaces naturels. Les mesures concernant les logements n'en sont qu'à leur début. Les mesures effectuées jusqu'à présent révèlent des valeurs d'exposition faibles, mais sont toutefois peu nombreuses. C'est pourquoi il n'est pas encore possible d'en tirer des conclusions générales » (https://www.bafu.admin.ch/bafu/fr/home/themes/electrosmog/communiques.msg -id-89276.html ; consulté le 22 septembre 2022). En outre, dans un arrêt 1C_339/2021 du 30 juin 2022, le Tribunal fédéral a confirmé sa jurisprudence confirmant l'application des Recommandations de mesures, OFEFP [éd.], 2002, selon lesquelles, si, selon le pronostic calculé, la valeur limite de l'installation est atteinte à 80 % dans un lieu à utilisation sensible, une mesure de réception de rayonnement non ionisant doit être effectuée après la mise en service de l'installation pour contrôler le pronostic calculé. À cet égard, le Tribunal fédéral a examiné la conformité au droit de la condition posée par l'autorisation de construire sur les mesures devant être effectuées après la mise en service de l'installation transformée, notamment dans l'un des LUS mentionné dans la fiche de données spécifique au site, et a considéré que cette condition correspondait aux Recommandations susmentionnées.</w:t>
      </w:r>
    </w:p>
    <w:p>
      <w:r>
        <w:t>- 20/25 - A/3960/2020</w:t>
      </w:r>
    </w:p>
    <w:p>
      <w:r>
        <w:rPr>
          <w:b/>
        </w:rPr>
        <w:t>E. 12</w:t>
      </w:r>
    </w:p>
    <w:p>
      <w:r>
        <w:t>Dans le cas d'espèce, compte tenu de ce qui précède, c'est en vain que les parties intervenantes invoquent les effets nocifs des rayonnements non ionisants sur la santé humaine, qu'ils soient scientifiquement démontrés ou pas suffisamment en l'état. En effet, c'est précisément en raison du danger avéré ou potentiel de ces rayonnements que le Conseil fédéral a déterminé dans l'ORNI des valeurs limites en deçà desquelles aucun effet du rayonnement de la téléphonie mobile n'a jusqu'ici été prouvé de manière cohérente. S'agissant de l'incertitude de la mesure des rayonnements émis par une installation, les considérants qui précèdent conduisent également à rejeter les arguments des parties intervenantes. Les recommandations de l'OFEV tiennent précisément compte des incertitudes qui pèsent autour de la mesure du rayonnement provoqué par une installation de téléphonie mobile, la jurisprudence susrappelée du Tribunal fédéral précisant que l'incertitude de mesure ne doit être ni ajoutée ni déduite, que seules les valeurs mesurées doivent être prises en compte et enfin que c'est pour prendre en compte cette incertitude que des mesures de réception doivent être effectuées après la mise en service de l'installation si, selon la prévision calculée, 80 % de la valeur limite de l'installation est atteinte à un LUS. Outre ces considérations générales qui conduisent à rejeter les arguments des parties intervenantes relatifs au principe de prévention et à l'incertitude des mesures du rayonnement non ionisant, il faut ajouter que le présent litige vise un refus d'autorisation de construire notifié à la recourante alors que le SABRA avait requis un complément d'instruction et ne s'était vraisemblablement même pas penché sur la fiche de données spécifique dans sa version du 29 avril 2019. En d'autres termes, les arguments des parties intervenantes dans la présente procédure ont une portée abstraite et ne s'appliquent pas spécifiquement à l'installation litigieuse, celle-ci n'ayant précisément pas fait l'objet d'une autorisation de construire.</w:t>
      </w:r>
    </w:p>
    <w:p>
      <w:r>
        <w:rPr>
          <w:b/>
        </w:rPr>
        <w:t>E. 13</w:t>
      </w:r>
    </w:p>
    <w:p>
      <w:r>
        <w:t>C'est le lieu de préciser que la production par la recourante, durant la présente procédure, de la nouvelle fiche de données spécifique au site établie le 31 janvier 2022, ne permet pas de donner suite à la conclusion de la recourante relative à l'octroi de l'autorisation de construire, ni à sa conclusion subsidiaire concernant le renvoi du dossier à l'autorité intimée avec ordre de délivrer l'autorisation sollicitée. Comme l'a relevé à juste titre autorité intimée, le tribunal est une instance judiciaire de contrôle de la légalité des décisions prises par les autorités administratives et ne peut se substituer à ces dernières en instruisant des questions qui relèvent du préavis d'instances spécialisées. Il incombe en l'espèce au SABRA d'examiner le dossier, notamment sur la base de la nouvelle fiche de données spécifique au site, puis ensuite à l'autorité intimée, si elle estime que l'autorisation peut être octroyée, de l'assortir cas échéant des conditions qui s'imposeraient selon l'ORNI et les recommandations de l'OFEV.</w:t>
      </w:r>
    </w:p>
    <w:p>
      <w:r>
        <w:t>- 21/25 - A/3960/2020</w:t>
      </w:r>
    </w:p>
    <w:p>
      <w:r>
        <w:rPr>
          <w:b/>
        </w:rPr>
        <w:t>E. 14</w:t>
      </w:r>
    </w:p>
    <w:p>
      <w:r>
        <w:t>Il résulte de ce qui précède que, dans la mesure où elle se fonde sur le principe de prévention, la décision litigieuse est contraire au droit.</w:t>
      </w:r>
    </w:p>
    <w:p>
      <w:r>
        <w:rPr>
          <w:b/>
        </w:rPr>
        <w:t>E. 15</w:t>
      </w:r>
    </w:p>
    <w:p>
      <w:r>
        <w:t>Il reste cependant à examiner l'autre motif sur lequel se fonde la décision litigieuse, à savoir la clause d'esthétique de l'art. 15 LCI.</w:t>
      </w:r>
    </w:p>
    <w:p>
      <w:r>
        <w:rPr>
          <w:b/>
        </w:rPr>
        <w:t>E. 16</w:t>
      </w:r>
    </w:p>
    <w:p>
      <w:r>
        <w:t>Aux termes de l'article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Il se fonde notamment sur le préavis de la commission d'architecture ou, pour les objets qui sont de son ressort, sur celui de la commission des monuments, de la nature et des sites. Il tient compte également, le cas échéant, de ceux émis par la commune ou les services compétents du département. La clause d'esthétique de la disposition susmentionnée constitue une notion juridique indéterminée, laissant un certain pouvoir d'appréciation à l'administration, celle-ci n'étant limitée que par l'excès ou l'abus de pouvoir (art. 61 al. 2 LPA). Dans le système de la LCI, les avis ou préavis des communes, des départements et organismes intéressés n'ont qu'un caractère consultatif, bien que leur rôle soit le plus souvent considéré comme important dans l'appréciation du dossier (Mémorial des séances du Grand Conseil 1988 II p.1640). En particulier, le préavis de la commission des monuments de la nature et des sites, qui est composée de spécialistes en matière d'architecture et d'urbanisme, émis à l'occasion d'un projet concret, revêt un poids prépondérant (ATA H. du 2 mars 1999 et réf. cit.; T. TANQUEREL, "La pesée des intérêts vue par le juge administratif" publié in La pesée globale des intérêts, A. MORAND, 1996, p. 201).</w:t>
      </w:r>
    </w:p>
    <w:p>
      <w:r>
        <w:rPr>
          <w:b/>
        </w:rPr>
        <w:t>E. 17</w:t>
      </w:r>
    </w:p>
    <w:p>
      <w:r>
        <w:t>Chaque fois que l'autorité administrative suit les préavis des commissions consultatives, l'autorité de recours doit s'imposer une certaine retenue, en fonction de son aptitude à trancher le litige (ATA/560/2004 du 22 juin 2004 et réf. cit; ATA/123/2003 du 11 mars 2003).</w:t>
      </w:r>
    </w:p>
    <w:p>
      <w:r>
        <w:rPr>
          <w:b/>
        </w:rPr>
        <w:t>E. 18</w:t>
      </w:r>
    </w:p>
    <w:p>
      <w:r>
        <w:t>En l'espèce, en s'appuyant sur le fait que ni le bâtiment sur lequel doivent être érigées les deux antennes, ni l'environnement immédiat ne font l'objet d'une quelconque protection patrimoniale, la recourante se méprend sur la portée de l'art. 15 LCI, qui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w:t>
      </w:r>
    </w:p>
    <w:p>
      <w:r>
        <w:t>- 22/25 - A/3960/2020</w:t>
      </w:r>
    </w:p>
    <w:p>
      <w:r>
        <w:rPr>
          <w:b/>
        </w:rPr>
        <w:t>E. 19</w:t>
      </w:r>
    </w:p>
    <w:p>
      <w:r>
        <w:t>La décision litigieuse fait siennes les critiques de la CA sur le fait que le projet litigieux serait inesthétique en raison de l'importance du dépassement des deux antennes par rapport au faîte du toit. On peut également relier cette remarque avec celle qu'avait émise le SMS dans son préavis du 15 juillet 2019 au sujet de l'exposition et de la visibilité de la future installation par rapport au futur boulevard urbain au nord du village de Bernex (boulevard dont les travaux alors en construction ont entre-temps été achevés). À l'examen des plans versés à l'appui de la requête en autorisation, on ne saurait contester l'importance visuelle qu'auront les deux antennes, non seulement en raison de leur très net dépassement par rapport au faîte du toit, mais également en raison de leur surface considérable. Le tribunal ne saurait ainsi retenir que la CA se serait écartée des éléments objectifs du dossier et son pouvoir d'appréciation doit donc être respecté dans le cadre de la procédure contentieuse, ainsi que cela découle de la jurisprudence susmentionnée.</w:t>
      </w:r>
    </w:p>
    <w:p>
      <w:r>
        <w:rPr>
          <w:b/>
        </w:rPr>
        <w:t>E. 20</w:t>
      </w:r>
    </w:p>
    <w:p>
      <w:r>
        <w:t>Cela étant, la mission du département consiste à procéder à la pesée des intérêts en présence, à savoir d'une part l'intérêt consistant à préserver l'espace public d'antennes de téléphonie mobile trop voyantes et d'autre part à permettre aux opérateurs d'assurer une couverture de téléphonie mobile de qualité, ce qui relève d'une tâche de la Confédération (ATF 139 II 271 consid. 11.2; ATF 131 II 545 consid. 2.2 p. 547 s.; arrêt 1C_283/2021 du 21 juillet 2022 consid. 3.1.2). Dans cette mesure, il lui appartient d'instruire le dossier de manière complète afin d'être en mesure d'apprécier correctement l'ensemble des paramètres pertinents. Le fait qu'une instance de préavis critique le projet pour des raisons esthétiques ne suffit ainsi pas pour rejeter la requête en autorisation. Il faut encore donner au requérant la possibilité de démontrer, outre le caractère indispensable de la construction, qu'aucune solution alternative n'est raisonnablement envisageable.</w:t>
      </w:r>
    </w:p>
    <w:p>
      <w:r>
        <w:rPr>
          <w:b/>
        </w:rPr>
        <w:t>E. 21</w:t>
      </w:r>
    </w:p>
    <w:p>
      <w:r>
        <w:t>Dans le cas d'espèce, par courrier du 23 août 2019, l'autorité intimée a communiqué à la recourante les préavis négatifs, soit notamment celui de la CA. Bien que ce courrier ne mentionne pas expressément la possibilité pour la recourante d'exercer son droit d'être entendu ou de modifier son projet dans le sens souhaité par les instances concernées, les mandataires, en pratique, ne s'y trompent pas et réagissent d'eux-mêmes dans un sens ou dans l'autre. À teneur du dossier, tel n'a pas été le cas en l'espèce, la recourante ayant opté pour la mise en demeure qu'elle a adressée au département le 6 octobre 2020 en vue d'obtenir une décision formelle.</w:t>
      </w:r>
    </w:p>
    <w:p>
      <w:r>
        <w:rPr>
          <w:b/>
        </w:rPr>
        <w:t>E. 22</w:t>
      </w:r>
    </w:p>
    <w:p>
      <w:r>
        <w:t>C'est donc à bon droit que l'autorité intimée a considéré que la preuve de l'absence d'alternative au projet litigieux n'avait pas été apportée au moment où elle a rendu la décision querellée et qu'elle a donc fait prévaloir l'intérêt à préserver le quartier concerné d'une installation inesthétique.</w:t>
      </w:r>
    </w:p>
    <w:p>
      <w:r>
        <w:rPr>
          <w:b/>
        </w:rPr>
        <w:t>E. 23</w:t>
      </w:r>
    </w:p>
    <w:p>
      <w:r>
        <w:t>Le tribunal pourrait ainsi rejeter le recours, l'un des deux motifs de la décision litigieuse apparaissant bien fondé. Cependant, cette solution ne tiendrait pas</w:t>
      </w:r>
    </w:p>
    <w:p>
      <w:r>
        <w:t>- 23/25 - A/3960/2020 compte de la divergence de principe qui a opposé la recourante et l'autorité initmée sur le développement de la technologie 5G, divergence qui a conduit la recourante à mettre un terme au dialogue dans le cadre de l'instruction des dossiers concernés. Or, comme on l'a vu, la position de l'autorité intimée sur cette question de principe était infondée, de sorte que le rejet pur et simple du recours entrainerait une conséquence disproportionnée et contraire au principe d'économie de procédure, en obligeant la recourante à déposer une nouvelle requête. Dans la mesure où, pour les motifs exposés plus haut (cf. consid. 13), il y aurait lieu de toute manière de renvoyer le dossier à l'autorité intimée pour complément d'instruction sous l'angle de l'ORNI, il s'avère plus conforme à l'économie de procédure de suivre cette voie et ainsi d'admettre partiellement le recours en ce qu'il conclut à l'annulation de la décision querellée, et de renvoyer le dossier à l'autorité intimée afin qu'elle en reprenne l'instruction.</w:t>
      </w:r>
    </w:p>
    <w:p>
      <w:r>
        <w:rPr>
          <w:b/>
        </w:rPr>
        <w:t>E. 24</w:t>
      </w:r>
    </w:p>
    <w:p>
      <w:r>
        <w:t>C'est le lieu de préciser que les explications données par la recourante au stade de la présente procédure sur l'impossibilité d'une solution alternative au projet apparaissent non seulement lacunaires, comme relevé par l'autorité intimée, mais surtout qu'elles n'ont pas été soumises aux instances spécialisées, dont le SABRA, qui sont mieux à même que le tribunal d'apprécier les aspects techniques discutés par la recourante.</w:t>
      </w:r>
    </w:p>
    <w:p>
      <w:r>
        <w:rPr>
          <w:b/>
        </w:rPr>
        <w:t>E. 25</w:t>
      </w:r>
    </w:p>
    <w:p>
      <w:r>
        <w:t>Si les plans de couverture produits par la recourante à l'appui de sa réplique démontrent une nette amélioration de la couverture en bande haute 4G), il faut toutefois relever que c'est essentiellement en direction du nord de l'installation projetée et dans une moindre mesure dans les trois autres directions, voire très peu en direction du sud. Concernant la couverture en 5G, la différence entre la situation actuelle et celle qui résulterait de l'installation litigieuse consiste en une amélioration plus modeste en direction du nord, tandis qu'elle est pratiquement inexistante dans les trois autres directions. Compte tenu de ceci, en reprenant l'instruction du dossier, le département invitera la recourante à présenter des possibilité d'alternatives qui ne consisteront pas seulement dans une diminution de la hauteur et des dimensions des antennes, mais également dans le fait d'adjoindre à ces antennes des installations supplémentaires (p. ex. situées à l'autre extrémité de l'immeuble), de manière à pouvoir apprécier la question de l'esthétique non seulement dans le cadre d'une approche consistant à diminuer autant que possible le nombre d'antennes, avec le risque qu'elles soient d'autant plus imposantes, mais également dans le cadre d'une approche consistant cas échéant à admettre des antennes nombreuses mais plus discrètes. Les alternatives devront être présentées par la recourante à l'aide de documents établissant leurs conséquences techniques (ou l'impossibilité de les mettre en œuvre). Les instances spécialisées, dont le SABRA et la CA, devront procéder à l'examen de ces documents de manière à établir et cas échéant confirmer les conséquences techniques et esthétiques d'une solution alternative. Il appartiendra finalement au département de procéder à la pesée des intérêts en présence et de décider s'il se justifie d'imposer une solution</w:t>
      </w:r>
    </w:p>
    <w:p>
      <w:r>
        <w:t>- 24/25 - A/3960/2020 alternative au projet actuel, ou si son "coût", notamment en termes d'efficience, est trop important.</w:t>
      </w:r>
    </w:p>
    <w:p>
      <w:r>
        <w:rPr>
          <w:b/>
        </w:rPr>
        <w:t>E. 26</w:t>
      </w:r>
    </w:p>
    <w:p>
      <w:r>
        <w:t>Au vu de ce qui précède, la décision litigieuse sera annulée, le recours étant admis quant à la première de ses conclusions principales, mais rejeté quant à la seconde de ses conclusions principales et la seconde de ses conclusions subsidiaires.</w:t>
      </w:r>
    </w:p>
    <w:p>
      <w:r>
        <w:rPr>
          <w:b/>
        </w:rPr>
        <w:t>E. 27</w:t>
      </w:r>
    </w:p>
    <w:p>
      <w:r>
        <w:t>À cet égard, il est précisé que le présent jugement constitue une décision incidente.</w:t>
      </w:r>
    </w:p>
    <w:p>
      <w:r>
        <w:rPr>
          <w:b/>
        </w:rPr>
        <w:t>E. 28</w:t>
      </w:r>
    </w:p>
    <w:p>
      <w:r>
        <w:t>Le recours est ainsi partiellement admis.</w:t>
      </w:r>
    </w:p>
    <w:p>
      <w:r>
        <w:rPr>
          <w:b/>
        </w:rPr>
        <w:t>E. 29</w:t>
      </w:r>
    </w:p>
    <w:p>
      <w:r>
        <w:t>Vu l'issue du litige, il ne sera pas perçu d'émolument (art. 87 al. 1 LPA et 1 et 2 du règlement sur les frais, émoluments et indemnités en procédure administrative du</w:t>
      </w:r>
    </w:p>
    <w:p>
      <w:r>
        <w:rPr>
          <w:b/>
        </w:rPr>
        <w:t>E. 30</w:t>
      </w:r>
    </w:p>
    <w:p>
      <w:r>
        <w:t>Vu l'issue du litige, une indemnité de procédure réduite de CHF 300.-, sera mise à la charge de l'État de Genève, soit pour lui le département du territoire, sera allouée à A______ SA (art. 87 al. 2 à 4 LPA et 6 RFPA). Le montant de cette indemnité tient compte du fait que le conseil de la recourante a produit des écritures identiques dans plusieurs autres dossiers actuellement pendants devant le tribunal, de sorte que si l'issue de ces dossiers devait être identique à celle de la présente procédure, il ne se justifierait pas d'octroyer à chaque fois l'indemnité qui serait normalement allouée pour une activité déployée pour un seul dossier. Cas échéant, en cas d'admission du recours de A______ SA dans un nombre limité des autres dossiers susmentionnés, le montant de l'indemnité octroyée à ces occasions sera réévalué afin de constituer un tout cohérent.</w:t>
      </w:r>
    </w:p>
    <w:p>
      <w:r>
        <w:t>- 25/25 - A/3960/2020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