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JTAPI/1341/2022 vom 8. Dezember 2022</w:t>
      </w:r>
    </w:p>
    <w:p>
      <w:r>
        <w:t>GE Cour de justice, 2022-12-08, FR</w:t>
      </w:r>
    </w:p>
    <w:p>
      <w:r>
        <w:rPr>
          <w:b/>
        </w:rPr>
        <w:t xml:space="preserve">Quelle: </w:t>
      </w:r>
      <w:r>
        <w:t>https://mcp.opencaselaw.ch/entscheid/ge_gerichte_JTAPI_1341_2022</w:t>
      </w:r>
    </w:p>
    <w:p>
      <w:r>
        <w:t>FR: GE_GERICHTE JTAPI/1341/2022 du 8 décembre 2022</w:t>
      </w:r>
    </w:p>
    <w:p>
      <w:r>
        <w:t>IT: GE_GERICHTE JTAPI/1341/2022 del 8 dicembre 2022</w:t>
      </w:r>
    </w:p>
    <w:p>
      <w:pPr>
        <w:pStyle w:val="Heading2"/>
      </w:pPr>
      <w:r>
        <w:t>Erwägungen</w:t>
      </w:r>
    </w:p>
    <w:p>
      <w:r>
        <w:rPr>
          <w:b/>
        </w:rPr>
        <w:t>E. 1</w:t>
      </w:r>
    </w:p>
    <w:p>
      <w:r>
        <w:t>Le Tribunal administratif de première instance connaît des recours dirigés, comme en l’espèce, contre les décisions prises par le département en application de la LCI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 V 71 consid. 5.1 ; 123 V 150 consid. 2 ; arrêt du Tribunal fédéral 1C_107/2016 du 28 juillet 2016 consid. 9 ; Thierry TANQUEREL, Manuel de droit administratif, 2011, n. 515 p. 171).</w:t>
      </w:r>
    </w:p>
    <w:p>
      <w:r>
        <w:rPr>
          <w:b/>
        </w:rPr>
        <w:t>E. 4</w:t>
      </w:r>
    </w:p>
    <w:p>
      <w:r>
        <w:t>La recourante estime tout d’abord que la décision litigieuse viole son droit d’être entendu dans la mesure où elle est insuffisamment motivée et ne lui permet pas de comprendre, à sa lecture seule, les faits qui lui sont reprochés.</w:t>
      </w:r>
    </w:p>
    <w:p>
      <w:r>
        <w:t>- 8/17 - A/951/2022</w:t>
      </w:r>
    </w:p>
    <w:p>
      <w:r>
        <w:rPr>
          <w:b/>
        </w:rPr>
        <w:t>E. 5</w:t>
      </w:r>
    </w:p>
    <w:p>
      <w:r>
        <w:t>Tel qu’il est garanti par l’art. 29 al. 2 de la Constitution fédérale de la Confédération suisse, du 18 avril 1999 (Cst. - RS 101), le droit d’être entendu comprend notamment le droit pour le justiciable de s'expliquer avant qu'une décision ne soit prise à son détriment, de produire des preuves pertinentes et d'obtenir qu'il soit donné suite à ses offres de preuves pertinentes, lorsque cela est de nature à influer sur la décision à rendre (cf. ATF 142 II 218 consid. 2.3 et 140 I 285 consid. 6.3.1). Le droit d'être entendu garanti par l'art. 29 al. 2 Cst. implique aussi pour l'autorité l'obligation de motiver sa décision. Selon la jurisprudence, il suffit que l'autorité ou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 137 II 266 consid. 3.2 ; 136 I 229 consid. 5.2 ; 134 I 83 consid. 4.1 ; ATA/967/2016 du 15 novembre 2016 consid. 2b). Par ailleurs, le droit d'être entendu est une garantie constitutionnelle de nature formelle, dont la violation entraîne l'annulation de la décision attaquée sans égard aux chances de succès du recours sur le fond (ATF 127 V 431 consid. 3d/aa p. 437). Ce moyen doit par conséquent être examiné en premier lieu (ATF 124 I 49 consid. 1 p. 50) et avec un plein pouvoir d'examen (ATF 127 III 193 consid. 3 p. 194 et la jurisprudence citée). Sa violation peut néanmoins être réparée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(ATF 2.P30/2003 du 2 juin 2003, consid. 2.4 et les arrêts cités; ATA/415/2008 du 26 août 2008, consid. 6; ATA/544/2007 du 30 octobre 2007, consid. 4).</w:t>
      </w:r>
    </w:p>
    <w:p>
      <w:r>
        <w:rPr>
          <w:b/>
        </w:rPr>
        <w:t>E. 6</w:t>
      </w:r>
    </w:p>
    <w:p>
      <w:r>
        <w:t>En l'espèce, la procédure suivie par l’autorité intimée jusqu’au prononcé de l’amende litigieuse le 25 février 2022 est parfaitement claire et compréhensible pour toutes les parties. En effet, celle-ci a, tout d’abord, écrit aux propriétaires concernés ainsi qu’à la recourante en sa qualité d’entreprise générale pour les informer avoir été saisi d’une dénonciation de laquelle il ressortait qu’un ou plusieurs éléments auraient été réalisés de manière non conforme à l’autorisation de construire DD 6______/4 qui était en force. Elle a ainsi listé les éléments pouvant être problématiques et fixé un délai à toutes les parties pour se déterminer.</w:t>
      </w:r>
    </w:p>
    <w:p>
      <w:r>
        <w:t>- 9/17 - A/951/2022 Après avoir reçu les déterminations de ces dernières, le département a notamment rendu sa décision du 25 février 2022 dans laquelle il indiquait que la création d’une porte entre le garage et le hall créait un agrandissement des SBP. Cela avait également pour conséquence que l’AGC qui lui avait été transmise le 29 mars 2021 devait être considérée comme nulle et non avenue. Elle a ensuite expliqué avoir notamment pris en considération comme circonstance aggravante la fourniture d’une AGC indiquant que la construction était conforme alors que tel n’était pas le cas. De même, le statut de professionnelle de l’immobilier de la recourante avait été pris en considération. La décision litigieuse est certes succincte, mais elle demeure parfaitement claire et ne nécessite pas de plus amples développements. Les motifs qui y sont mentionnés ont d’ailleurs permis à la recourante, représentée par son conseil, de motiver son recours de manière complète. Le caractère succinct de cette motivation ne justifie donc aucunement le renvoi de la cause à l’autorité intimée, qui s’est d’ailleurs expliquée plus en détail depuis lors, étant rappelé qu’un défaut de motivation peut être réparé par la prise de position de l’autorité intimée, suite à un recours, si l’administré se voit offrir la possibilité de s’exprimer à son sujet et que l’autorité de recours peut examiner librement les questions de fait et de droit (cf. ATF 133 I 201 consid. 2.2 ; arrêt du Tribunal fédéral 1C_272/2010 du 16 mars 2011 consid. 2.6.2 ; Thierry TANQUEREL, op. cit., n. 1577 p. 522 et les arrêts cités), ce qui a été le cas en l’occurrence. Ce grief doit donc être écarté.</w:t>
      </w:r>
    </w:p>
    <w:p>
      <w:r>
        <w:rPr>
          <w:b/>
        </w:rPr>
        <w:t>E. 7</w:t>
      </w:r>
    </w:p>
    <w:p>
      <w:r>
        <w:t>La recourante estime ensuite que l’ajout de la porte d’entrée entre le hall chauffé de l’habitation et le garage n’agrandissait pas les SBP, n’avait aucun impact sur l’enveloppe extérieure du bâtiment ni son affectation de sorte qu’aucune autorisation n’était nécessaire conformément à l’art. 1 al. 2 LCI.</w:t>
      </w:r>
    </w:p>
    <w:p>
      <w:r>
        <w:rPr>
          <w:b/>
        </w:rPr>
        <w:t>E. 8</w:t>
      </w:r>
    </w:p>
    <w:p>
      <w:r>
        <w:t>Conformément à l'art. 22 al. 1 de la loi fédérale sur l’aménagement du territoire du 22 juin 1979 (LAT - RS 700), aucune construction ou installation ne peut être créée ou transformée sans autorisation de l’autorité compétente. Le terme « transformation » de l’art. 22 al. 1 LAT vise également le changement d’affectation, soit la modification du but de l’utilisation, même lorsqu’il ne nécessite pas de travaux de construction (ATF 113 Ib 219 consid. 4 d = JdT 1989 I 461 ; Heinz AEMISEGGER/Alfred KUTTLER/Pierre MOOR/Alexander RUCH/Pierre TSCHANNEN [éd.], Commentaire de la loi sur l’aménagement du territoire, 2010, art. 22, p. 19 n. 34).</w:t>
      </w:r>
    </w:p>
    <w:p>
      <w:r>
        <w:rPr>
          <w:b/>
        </w:rPr>
        <w:t>E. 9</w:t>
      </w:r>
    </w:p>
    <w:p>
      <w:r>
        <w:t>Selon l'art. 22 al. 2 LAT, l’autorisation est délivrée si la construction ou l’installation est conforme à l’affectation de la zone (let. a) et si le terrain est équipé (let. b). Le droit fédéral et le droit cantonal peuvent poser d’autres conditions (art. 22 al. 3 LAT).</w:t>
      </w:r>
    </w:p>
    <w:p>
      <w:r>
        <w:t>- 10/17 - A/951/2022 Selon la doctrine, l’exigence posée par l’art. 22 LAT est une exigence minimale ; les lois cantonales peuvent donc décider d’un régime plus sévère et soumettre à l’obligation du permis de construire des projets qui en seraient dispensés selon l’art. 22 LAT (Heinz AEMISEGGER/Alfred KUTTLER/Pierre MOOR/Alexander RUCH/Pierre TSCHANNEN [éd.], op. cit., art. 22, p. 4 n. 4 ; Nicolas MICHEL, op. cit., n. 1397 ss).</w:t>
      </w:r>
    </w:p>
    <w:p>
      <w:r>
        <w:rPr>
          <w:b/>
        </w:rPr>
        <w:t>E. 10</w:t>
      </w:r>
    </w:p>
    <w:p>
      <w:r>
        <w:t>En vertu de l'art. 1 al. 1 LCI, sur tout le territoire du canton, nul ne peut, sans y avoir été autorisé, élever en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 démolir, supprimer ou rebâtir une construction ou une installation (let. c), modifier la configuration du terrain (let. d), aménager des voies de circulation, des places de parcage ou une issue sur la voie publique (let. e), ouvrir un nouveau puits (let. f) et abattre un arbre d'une essence protégée (let. g).</w:t>
      </w:r>
    </w:p>
    <w:p>
      <w:r>
        <w:rPr>
          <w:b/>
        </w:rPr>
        <w:t>E. 11</w:t>
      </w:r>
    </w:p>
    <w:p>
      <w:r>
        <w:t>Les demandes d’autorisation sont adressées au département (art. 2 al. 1 LCI).</w:t>
      </w:r>
    </w:p>
    <w:p>
      <w:r>
        <w:rPr>
          <w:b/>
        </w:rPr>
        <w:t>E. 12</w:t>
      </w:r>
    </w:p>
    <w:p>
      <w:r>
        <w:t>Dès que les conditions légales sont réunies, le département est tenu de délivrer l'autorisation de construire. (art. 1 al. 5 LCI), mais aucun travail ne doit être entrepris avant que l’autorisation ait été délivrée (art. 1 al. 6 LCI).</w:t>
      </w:r>
    </w:p>
    <w:p>
      <w:r>
        <w:rPr>
          <w:b/>
        </w:rPr>
        <w:t>E. 13</w:t>
      </w:r>
    </w:p>
    <w:p>
      <w:r>
        <w:t>En 5ème zone, lorsque les circonstances le justifient et que cette mesure est compatible avec le caractère, l’harmonie et l’aménagement du quartier, le département peut renoncer à prendre en considération dans le calcul du rapport des surfaces, la surface de plancher des garages de dimensions modestes, lorsque ceux-ci font partie intégrante du bâtiment principal (art. 59 al. 3 let. c LCI).</w:t>
      </w:r>
    </w:p>
    <w:p>
      <w:r>
        <w:rPr>
          <w:b/>
        </w:rPr>
        <w:t>E. 14</w:t>
      </w:r>
    </w:p>
    <w:p>
      <w:r>
        <w:t>Conformément à l’art. 59 al. 7 LCI, les constructions de peu d’importance ne sont pas prises en considération dans le calcul des surfaces. Sont réputées CDPI, à la condition qu’elles ne servent ni à l’habitation, ni à l’exercice d’une activité commerciale, industrielle ou artisanale, celles dont la surface n’excède pas 50 m² et qui s’inscrivent dans un gabarit limité.</w:t>
      </w:r>
    </w:p>
    <w:p>
      <w:r>
        <w:rPr>
          <w:b/>
        </w:rPr>
        <w:t>E. 15</w:t>
      </w:r>
    </w:p>
    <w:p>
      <w:r>
        <w:t>L’art. 29 RCI prévoit quant à lui que la surface des constructions, selon l'art. 59 LCI, comprend les constructions annexes faisant corps avec le bâtiment principal, à l’exclusion de celles qui seraient admises comme CDPI.</w:t>
      </w:r>
    </w:p>
    <w:p>
      <w:r>
        <w:rPr>
          <w:b/>
        </w:rPr>
        <w:t>E. 16</w:t>
      </w:r>
    </w:p>
    <w:p>
      <w:r>
        <w:t>Afin de préciser l’application de l’art. 59 LCI, le département a édicté et publié une directive 021-v7 relative au rapport des surfaces. Selon cette directive, lorsque les circonstances le justifient, le département peut renoncer à prendre en considération dans le calcul des SBP les garages sans liaison avec la villa.</w:t>
      </w:r>
    </w:p>
    <w:p>
      <w:r>
        <w:t>- 11/17 - A/951/2022</w:t>
      </w:r>
    </w:p>
    <w:p>
      <w:r>
        <w:rPr>
          <w:b/>
        </w:rPr>
        <w:t>E. 17</w:t>
      </w:r>
    </w:p>
    <w:p>
      <w:r>
        <w:t>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les prendre en considération en vue d'assurer une application uniforme de la loi envers chaque administré. Il ne doit cependant en tenir compte que si elles respectent le sens et le but de la norme applicable (ATF 129 V 205 consid. 3.2 ; 127 V 61 consid. 3a ; 126 V 68 consid. 4b ; 427 consid. 5a ; 121 II 478 consid. 2b et les références ; ATA/552/2013 du 27 août 2013 ; ATA/114/2010 du 16 février 2010). Émise par l'autorité chargée de l'application concrète d’une loi, l'ordonnance administrative est un mode de gestion : elle rend explicite une ligne de conduite, permet d'unifier et de rationaliser la pratique, assure ce faisant aussi l'égalité de traitement et la prévisibilité administrative et facilite le contrôle juridictionnel, puisqu'elle dote le juge de l'instrument nécessaire pour vérifier que l'administration agit selon des critères rationnels, cohérents et continus, et non pas selon une politique virevoltante du cas par cas (Pierre MOOR/Alexandre FLÜCKIGER/Vincent MARTENET, Droit administratif, vol. I, 3ème éd., 2012, pp. 426-427).</w:t>
      </w:r>
    </w:p>
    <w:p>
      <w:r>
        <w:rPr>
          <w:b/>
        </w:rPr>
        <w:t>E. 18</w:t>
      </w:r>
    </w:p>
    <w:p>
      <w:r>
        <w:t>Selon l’art. 59 al. 4 let. a LCI, le département peut autoriser, après consultation de la commune et de la commission d’architecture un projet dérogeant au rapport des surfaces. Cette dérogation peut être croissante plus le standard de performance énergétique est élevé. Ainsi le rapport de 30 % pour un projet de très haute performance énergétique (art. 59 al. 1 LCI) peut être autorisé jusqu’à 48 % dans les mêmes conditions ou de 44 % si le standard n’est que de haute performance énergétique ou 40 % sans standard particulier (art. 59 al. 4 LCI).</w:t>
      </w:r>
    </w:p>
    <w:p>
      <w:r>
        <w:rPr>
          <w:b/>
        </w:rPr>
        <w:t>E. 19</w:t>
      </w:r>
    </w:p>
    <w:p>
      <w:r>
        <w:t>Selon l’art. 7 al. 2 LCI, l’attestation certifie que les constructions ou installations sont conformes à l’autorisation de construire, aux conditions de celle-ci, ainsi qu’aux lois et règlements applicables au moment de l’entrée en force de l’autorisation de construire.</w:t>
      </w:r>
    </w:p>
    <w:p>
      <w:r>
        <w:rPr>
          <w:b/>
        </w:rPr>
        <w:t>E. 20</w:t>
      </w:r>
    </w:p>
    <w:p>
      <w:r>
        <w:t>En l’occurrence, il n’est pas contesté que nous sommes en présence d’une construction à haute performance énergétique de sorte que la dérogation maximum au rapport des surfaces était de de 44 %. Il n’est pas contesté non plus que les SBP du projet étaient autorisées à concurrence de 43.7%. S’agissant du garage, les parties admettent qu’il s’agit d’une CDPI et que sa surface n’a pas été comptabilisée dans les SPB au moment de la délivrance de l’autorisation de construire. Il ressort également du dossier que dans les plans initiaux et l’autorisation de construire, le garage n’était pas relié à la villa par une porte.</w:t>
      </w:r>
    </w:p>
    <w:p>
      <w:r>
        <w:rPr>
          <w:b/>
        </w:rPr>
        <w:t>E. 21</w:t>
      </w:r>
    </w:p>
    <w:p>
      <w:r>
        <w:t>La recourante indique que c’est en cours de réalisation du projet et afin de satisfaire les besoins de sa cliente, qu’elle a relié ce garage avec la villa par une</w:t>
      </w:r>
    </w:p>
    <w:p>
      <w:r>
        <w:t>- 12/17 - A/951/2022 porte tout en contestant que cela puisse avoir une incidence sur les SBP et qu’une demande d’autorisation de construire complémentaire aurait dû être déposée. Ce point de vue ne peut clairement pas être suivi. En effet, en ajoutant, lors de la construction, une porte de communication entre le garage et le hall d’habitation, la recourante a bel et bien transformé l’autorisation de construire qui était en force sans en avoir fait la demande au préalable au département tel que prescrit par l’art. 22 LAT et 1 LCI. Elle a ainsi, non seulement agrandi les SBP de la construction à l’insu de l’autorité mais les a aussi portées au-delà des limites admissibles. La recourante, représentée par un architecte, ne pouvait pas ignorer qu’en rajoutant une porte de communication entre le garage et le hall, elle ne respectait pas ni les plans visés ne varietur, ni, à fortiori, l’autorisation de construire entrée en force. Si elle estimait que l’ajout d’une porte de communication entre le garage et le hall de la villa n’avait aucune incidence sur les SBP, l’on se demande pour quelle raison elle ne l’a pas, d’ores et déjà, fait figurer dans les plans initiaux. Au vu de l’ensemble des éléments, le tribunal est d’avis que la recourante savait pertinemment que l’ajout de cette porte de communication avait une incidence sur les SBP raison pour laquelle elle ne l’a pas intégrée dans le projet initial. Elle a ainsi pris l’option de la réaliser secrètement en comptant sur une absence de contrôle de la part du département. C’est d’ailleurs ce qui aurait pu se passer si les faits n’avaient pas été dénoncés au département par un tiers. Sur ce point, son argumentaire est inopérant. Il l’est également s’agissant du fait que l’AGC n’est pas conforme à ce qui avait été autorisé dans la DD 6______ entrée en force. C’est donc à raison que le département a considéré que du fait de la présence de la porte de communication entre le garage et le hall de l’habitation, l’AGC n’était pas conforme à l’autorisation en force et au droit en vigueur. Pour toutes ces raisons, il appert que la recourante a contrevenu à la LCI de sorte que l’autorité intimée était fondée de lui infliger une amende.</w:t>
      </w:r>
    </w:p>
    <w:p>
      <w:r>
        <w:rPr>
          <w:b/>
        </w:rPr>
        <w:t>E. 22</w:t>
      </w:r>
    </w:p>
    <w:p>
      <w:r>
        <w:t>La recourante estime que la sanction prononcée à son encontre est totalement disproportionnée.</w:t>
      </w:r>
    </w:p>
    <w:p>
      <w:r>
        <w:rPr>
          <w:b/>
        </w:rPr>
        <w:t>E. 23</w:t>
      </w:r>
    </w:p>
    <w:p>
      <w:r>
        <w:t>Selon l’art. 137 LCI, est passible d'une amende administrative de CHF 100.- à CHF 150'000.- tout contrevenant à la LCI, à ses règlements d'application ainsi qu'aux ordres du département (al. 1). Toutefois, lorsqu'une construction, une installation ou tout autre ouvrage a été entrepris sans autorisation mais que les travaux sont conformes aux prescriptions légales, le montant maximum de l'amende est de CHF 20'000.- (al. 2). Il est tenu compte, dans la fixation du montant de l'amende, du degré de gravité de l'infraction (art. 137 al. 3 LCI).</w:t>
      </w:r>
    </w:p>
    <w:p>
      <w:r>
        <w:t>- 13/17 - A/951/2022</w:t>
      </w:r>
    </w:p>
    <w:p>
      <w:r>
        <w:rPr>
          <w:b/>
        </w:rPr>
        <w:t>E. 24</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(ATA/263/2016 du 22 mars 2016 ; ATA/163/2014 du 18 mars 2014 ; ATA/61/2014 du 4 février 2014 ; ATA/74/2013 du 6 février 2013 ; P. MOOR/E. POLTIER, Droit administratif : les actes administratifs et leur contrôle, vol. 2, 2011, ch. 1.4.5.5 p. 160 s).</w:t>
      </w:r>
    </w:p>
    <w:p>
      <w:r>
        <w:rPr>
          <w:b/>
        </w:rPr>
        <w:t>E. 25</w:t>
      </w:r>
    </w:p>
    <w:p>
      <w:r>
        <w:t>En vertu de l'art.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(comme notamment les art. 34 ss, 42 ss, 56 ss, 74 ss, 106 al. 2 et 3 et 107 CP ; ATA/886/2014 du 11 novembre 2014 ; ATA/147/2014 du 11 mars 2014 ; ATA/791/2013 du 3 décembre 2013 ; ATA/74/2013 du 6 février 2013 ; ATA/71/2012 du 31 janvier 2012). Il est ainsi nécessaire que le contrevenant ait commis une faute, fût-ce sous la forme d’une simple négligence (ATA/886/2014 du 11 novembre 2014 ; ATA/147/2014 du 11 mars 2014 ; ATA/791/2013 du 3 décembre 2013 ; ATA/74/2013 du 6 février 2013 et la référence citée).</w:t>
      </w:r>
    </w:p>
    <w:p>
      <w:r>
        <w:rPr>
          <w:b/>
        </w:rPr>
        <w:t>E. 26</w:t>
      </w:r>
    </w:p>
    <w:p>
      <w:r>
        <w:t>Selon la jurisprudence constante, l’administration doit faire preuve de sévérité afin d’assurer le respect de la loi et jouit d’un large pouvoir d’appréciation pour infliger une amende (ATA/824/2015 du 11 août 2015 ; ATA/569/2015 du 2 juin 2015 ; ATA/886/2014 du 11 novembre 2014 ; ATA/147/2014 du 11 mars 2014 ; ATA/791/2013 du 3 décembre 2013 ; ATA/74/2013 du 6 février 2013), de sorte que le juge ne la censure qu’en cas d’excès (ATA/824/2015 du 11 août 2015 ; ATA/147/2014 du 11 mars 2014 ; ATA/791/2013 du 3 décembre 2013 ; ATA/74/2013 du 6 février 2013).</w:t>
      </w:r>
    </w:p>
    <w:p>
      <w:r>
        <w:rPr>
          <w:b/>
        </w:rPr>
        <w:t>E. 27</w:t>
      </w:r>
    </w:p>
    <w:p>
      <w:r>
        <w:t>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et son mode d'exécution, par les motivations et les buts de l’auteur et par la mesure dans laquelle celui-ci aurait pu éviter la mise en danger ou la lésion, compte tenu de sa situation personnelle et des circonstances extérieures (art. 47 al. 2 CP ; ATA/824/2015 du 11 août 2015 ; ATA/569/2015 du 2 juin 2015 ; ATA/886/2014 du 11 novembre 2014 ; ATA/791/2013 du 3 décembre 2013 ; ATA/74/2013 du 6 février 2013 ; cf. aussi</w:t>
      </w:r>
    </w:p>
    <w:p>
      <w:r>
        <w:t>- 14/17 - A/951/2022 not. arrêt du Tribunal fédéral 6B_412/2014 du 27 janvier 2015 consid. 2.1 et les arrêts cités).</w:t>
      </w:r>
    </w:p>
    <w:p>
      <w:r>
        <w:rPr>
          <w:b/>
        </w:rPr>
        <w:t>E. 28</w:t>
      </w:r>
    </w:p>
    <w:p>
      <w:r>
        <w:t>L'art. 47 CP confère un large pouvoir d'appréciation à l'autorité. Par conséquent, celle-ci ne viole le droit en fixant la peine que si elle sort du cadre légal, si elle se fonde sur des critères étrangers à l'art. 47 CP, si elle omet de prendre en considération des éléments d'appréciation prévus par cette disposition ou, enfin, si la peine qu'elle prononce est exagérément sévère ou clémente au point de constituer un abus du pouvoir d'appréciation (ATF 136 IV 55 consid. 5.6 ; arrêts du Tribunal fédéral 6B_28/2016 du 10 octobre 2016 consid. 5.1 ; 6B_1276/2015 du 29 juin 2016 consid. 2.1).</w:t>
      </w:r>
    </w:p>
    <w:p>
      <w:r>
        <w:rPr>
          <w:b/>
        </w:rPr>
        <w:t>E. 29</w:t>
      </w:r>
    </w:p>
    <w:p>
      <w:r>
        <w:t>Enfin, l'amende doit respecter le principe de la proportionnalité garanti par l'art. 5 al. 2 Cst. (ATA/313/2017 du 21 mars 2017 ; ATA/871/2015 du 25 août 2015 ; ATA/824/2015 du 11 août 2015), lequel commande que la mesure étatique soit nécessaire et apte à atteindre le but prévu et qu'elle soit raisonnable pour la personne concernée (ATF 140 I 257 consid. 6.3.1 ; 140 II 194 consid. 5.8.2 ; 139 I 218 consid. 4.3). L'amende doit ainsi faire l'objet d'une évaluation globale, dans laquelle l'autorité administrative qui sanctionne - partant le juge qui contrôle sa décision - doit prendre en compte, dans un calcul d'ensemble, la nature, la gravité et la fréquence des infractions (ATA/886/2014 du 11 novembre 2014 ; ATA/558/2013 du 27 août 2013 ; ATA/804/2012 du 27 novembre 2012), ainsi que les éléments liés à la culpabilité et les circonstances personnelles de l'auteur, dont ses capacités financières (ATA/719/2012 du 30 octobre 2012).</w:t>
      </w:r>
    </w:p>
    <w:p>
      <w:r>
        <w:rPr>
          <w:b/>
        </w:rPr>
        <w:t>E. 30</w:t>
      </w:r>
    </w:p>
    <w:p>
      <w:r>
        <w:t>Les mesures nécessaires à éliminer une situation contraire au droit doivent être dirigées contre le perturbateur. Selon la jurisprudence, le perturbateur est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ATF 139 II 185 consid. 14.3.2 p. 226 s. ; 136 I 1 consid. 4.4.3 p. 11 ; 122 II 65 consid. 6a p. 70 ; ATA/83/2014 du 12 février 2014 consid. 9 ; ATA/152/2010 précité consid. 7 ; ATA/179/2006 du 28 mars 2006 consid. 4 ; ATA/195/2005 du 5 avril 2005 consid. 11).</w:t>
      </w:r>
    </w:p>
    <w:p>
      <w:r>
        <w:rPr>
          <w:b/>
        </w:rPr>
        <w:t>E. 31</w:t>
      </w:r>
    </w:p>
    <w:p>
      <w:r>
        <w:t>En l'espèce, l'amende est dirigée contre la recourante en sa qualité d’entreprise générale en charge de la construction et dans la mesure où elle a participé à la procédure ayant abouti à la délivrance de l’autorisation de construire qui est ensuite entrée en force. Il lui appartenait, en tant qu’entreprise générale chargée de la construction du projet et en sa qualité de professionnelle, de s'assurer que celui- ci soit exécuté conformément à l’autorisation de construire en force. Il lui incombait également de requérir auprès du département une autorisation complémentaire si sa mandante lui a demandé, en cours de construction, d’ajouter</w:t>
      </w:r>
    </w:p>
    <w:p>
      <w:r>
        <w:t>- 15/17 - A/951/2022 une porte de communication entre le garage et le hall de l’habitation. En ne le faisant pas tel que vu précédemment, elle a ainsi commis une faute et l’amende est donc fondée dans son principe.</w:t>
      </w:r>
    </w:p>
    <w:p>
      <w:r>
        <w:rPr>
          <w:b/>
        </w:rPr>
        <w:t>E. 32</w:t>
      </w:r>
    </w:p>
    <w:p>
      <w:r>
        <w:t>Concernant la quotité de l'amende, l’autorité intimée a retenu que la recourante avait créé 31.64 m2 de SBP supplémentaires et dépassé ainsi le taux maximal autorisable lié au standard énergétique en question (HPE). Elle a également considéré que les infractions commises n’étaient de loin pas modestes eu égard également au comportement du fait accompli et de la qualité de professionnelle de l’immobilier de la recourante. Le tribunal considère que cette manière d’agir de la recourante, dès lors qu’elle contrevient à la loi et son règlement d’application, qui plus en qualité de professionnelle de la construction, est inadmissible. Elle porte également gravement atteinte à la relation de confiance que le département se doit d’avoir avec les professionnels de la construction et qui doit partir du principe que ceux-ci respectent scrupuleusement ses décisions et les règles juridiques du droit de la construction. En effet, il est admis que le respect du droit public est l’un des devoirs incombant à l’architecte (Blaise KNAPP, "La profession d’architecte en droit public", in Le droit de l’architecte, 1986, p. 487 ss n. 510 ; cf. ATA/118/2013 du 26 février 2013). Il ressort du dossier que l’autorité intimée a fixé l’amende en effectuant une évaluation globale de la situation et pris en considération la nature de l’infraction et sa gravité. Il n’y a aucun élément au dossier, et la recourante n’en apporte pas, pour affirmer que l’autorité intimée est sortie du cadre légal, s’est fondée sur des critères étrangers ou a omis de prendre en considération des éléments d’appréciation. Le tribunal considère qu’eu égard à la gravité de la faute, la manière d’agir, soit la modification en secret d’une autorisation en force et ensuite la mise de l’autorité devant le fait accompli ainsi que les motivations et le but poursuivi (souhaits de la cliente d’augmenter les SBP autorisées) le département a fait preuve de retenue en arrêtant le montant de l'amende à CHF 4'000.-. En effet, ce montant se situe dans la tranche inférieure des amendes prévues à l’art. 137 al. 1 LCI. Partant, l’amende de viole pas le principe de proportionnalité. Pour le surplus, il ne ressort pas du dossier qu'une telle sanction exposerait la recourante à une situation financière difficile (cf. not. ATA/886/2014 du 11 novembre 2014 ; ATA/455/2009 du 15 septembre 2009 ; ATA/614/2008 du 9 décembre 2008 ; ATA/632/2007 du 11 décembre 2007).</w:t>
      </w:r>
    </w:p>
    <w:p>
      <w:r>
        <w:rPr>
          <w:b/>
        </w:rPr>
        <w:t>E. 33</w:t>
      </w:r>
    </w:p>
    <w:p>
      <w:r>
        <w:t>En tous points mal fondé, le recours sera rejeté.</w:t>
      </w:r>
    </w:p>
    <w:p>
      <w:r>
        <w:t>- 16/17 - A/951/2022</w:t>
      </w:r>
    </w:p>
    <w:p>
      <w:r>
        <w:rPr>
          <w:b/>
        </w:rPr>
        <w:t>E. 34</w:t>
      </w:r>
    </w:p>
    <w:p>
      <w:r>
        <w:t>Vu l'issue du litige, un émolument de CHF 900.- sera mis à la charge de la recourante (art. 87 al. 1 LPA) et aucune indemnité de procédure ne lui sera allouée (art. 87 al. 2 LPA).</w:t>
      </w:r>
    </w:p>
    <w:p>
      <w:r>
        <w:t>- 17/17 - A/951/2022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