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JTAPI/1314/2023 vom 24. November 2023</w:t>
      </w:r>
    </w:p>
    <w:p>
      <w:r>
        <w:t>GE Cour de justice, 2023-11-24, FR</w:t>
      </w:r>
    </w:p>
    <w:p>
      <w:r>
        <w:rPr>
          <w:b/>
        </w:rPr>
        <w:t xml:space="preserve">Quelle: </w:t>
      </w:r>
      <w:r>
        <w:t>https://mcp.opencaselaw.ch/entscheid/ge_gerichte_JTAPI_1314_2023</w:t>
      </w:r>
    </w:p>
    <w:p>
      <w:r>
        <w:t>FR: GE_GERICHTE JTAPI/1314/2023 du 24 novembre 2023</w:t>
      </w:r>
    </w:p>
    <w:p>
      <w:r>
        <w:t>IT: GE_GERICHTE JTAPI/1314/2023 del 24 novembre 2023</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w:t>
      </w:r>
    </w:p>
    <w:p>
      <w:r>
        <w:t>- 6/14 - A/1648/2023 V 71 consid. 5.1 ; 123 V 150 consid. 2 ; arrêt du Tribunal fédéral 1C_107/2016 du 28 juillet 2016 consid. 9). 4. À titre préalable, le recourant sollicite son audition et l’audition des médecins ayant établi l’expertise.</w:t>
      </w:r>
    </w:p>
    <w:p>
      <w:r>
        <w:rPr>
          <w:b/>
        </w:rPr>
        <w:t>E. 5</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 4.1 ; 2C_1004/2018 du 11 juin 2019 consid. 5.2.1 ; 2C_1125/2018 du 7 janvier 2019 consid. 5.1 ; ATA/672/2021 du 29 juin 2021 consid. 3b).</w:t>
      </w:r>
    </w:p>
    <w:p>
      <w:r>
        <w:rPr>
          <w:b/>
        </w:rPr>
        <w:t>E. 6</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du recourant ni d’entendre les témoins sollicités. C’est le lieu de relever que l’expertise a été versée à la procédure et qu’en application du principe de la libre appréciation des preuves garanti par l’art. 27 al. 2 LPA, le tribunal peut se fonder sur les seuls renseignements écrits (ATA/528/2023 du 23 mai 2023 consid. 2.3). Au demeurant, l’autorité intimée n’a nullement remis en cause la collaboration du recourant ni sa prise de conscience. Quant aux médecins, ils ne pourraient que confirmer l'aptitude à la conduite du recourant et sa prise de conscience de la gravité de son acte, sans que cela n'influe de quelconque manière sur l'issue de la</w:t>
      </w:r>
    </w:p>
    <w:p>
      <w:r>
        <w:t>- 7/14 - A/1648/2023 procédure, ainsi qu'on le verra plus loin. En tout état, le recourant a eu la possibilité de faire valoir ses arguments dans le cadre de son recours puis de sa réplique et de produire tout moyen de preuve utile en annexe de ses écritures, sans qu’il n'explique quels éléments la procédure écrite l’aurait empêché d'exprimer de manière pertinente et complète.</w:t>
      </w:r>
    </w:p>
    <w:p>
      <w:r>
        <w:rPr>
          <w:b/>
        </w:rPr>
        <w:t>E. 6.1</w:t>
      </w:r>
    </w:p>
    <w:p>
      <w:r>
        <w:t>; 138 I 305 consid. 4.3 ; 137 I 1 consid. 2.4 ; arrêt du Tribunal fédéral 2C_180/2013, 2C_181/2013 du 5 novembre 2013 consid. 3). Par ailleurs, une décision est arbitraire au sens de l'art. 9 Cst.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135 II consid. 1.3 ; 134 II 124 consid. 4.1 ; ATA/381/2008 du 29 juillet 2008 consid. 4a).</w:t>
      </w:r>
    </w:p>
    <w:p>
      <w:r>
        <w:rPr>
          <w:b/>
        </w:rPr>
        <w:t>E. 7</w:t>
      </w:r>
    </w:p>
    <w:p>
      <w:r>
        <w:t>Cette demande d'instruction, en soi non obligatoire, sera par conséquent rejetée, dans la mesure où elle n’apportera pas un éclairage différent sur le dossier.</w:t>
      </w:r>
    </w:p>
    <w:p>
      <w:r>
        <w:rPr>
          <w:b/>
        </w:rPr>
        <w:t>E. 8</w:t>
      </w:r>
    </w:p>
    <w:p>
      <w:r>
        <w:t>Dans un grief d’ordre formel qu’il convient d’examiner en premier lieu, le recourant invoque la violation de son droit d’être entendu, sous l’angle d’un défaut de motivation.</w:t>
      </w:r>
    </w:p>
    <w:p>
      <w:r>
        <w:rPr>
          <w:b/>
        </w:rPr>
        <w:t>E. 9</w:t>
      </w:r>
    </w:p>
    <w:p>
      <w:r>
        <w:t>Le droit d’être entendu, dont le fondement constitutionnel a été rappelé plus haut, implique également notamment pour l'autorité, l'obligation de motiver sa décision. Selon une jurisprudence constante, l'obligation de motiver n'impose pas à l'autorité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 2.1 et les arrêts cités ; 1C_298/2017 du 30 avril 2018 consid. 2.1). En revanche, une autorité se rend coupable d'un déni de justice formel si elle omet de se prononcer sur des griefs qui présentent une certaine pertinence ou de prendre en considération des allégués et arguments importants pour la décision à rendre (ATF 142 II 154 consid. 4.2 ; 139 IV 179 consid. 2.2 ; 138 I 232 consid. 5.1). En tout état, un éventuel défaut de motivation peut être réparé par la prise de position de l'autorité intimée, suite à un recours, si l'administré se voit offrir la possibilité de s'exprimer à son sujet et que l'autorité de recours peut examiner librement les questions de fait et de droit (cf. ATF 133 I 201 consid. 2.2 ; arrêt du Tribunal fédéral 1C_272/2010 du 16 mars 2011 consid. 2.6.2 ; Thierry TANQUEREL, op. cit., n. 1577 p. 522 et les arrêts cités).</w:t>
      </w:r>
    </w:p>
    <w:p>
      <w:r>
        <w:rPr>
          <w:b/>
        </w:rPr>
        <w:t>E. 10</w:t>
      </w:r>
    </w:p>
    <w:p>
      <w:r>
        <w:t>En l’espèce, la décision litigieuse indique les bases légales applicables, détaille l’infraction retenue, mentionne la conclusion de l’expertise, précisant que cette dernière fait partie intégrante de la décision prononcée. Dans ces circonstances, le</w:t>
      </w:r>
    </w:p>
    <w:p>
      <w:r>
        <w:t>- 8/14 - A/1648/2023 recourant, assisté d'un conseil, était en mesure de saisir les raisons qui avaient amené l’autorité intimée à prendre cette décision. Il a d’ailleurs pu motiver son recours de manière complète, L’autorité intimée s’est ensuite déterminée sur le recours et le recourant a eu l’occasion de répliquer. Ainsi, même à supposer qu'un défaut de motivation puisse être imputé à l'OCV, il a de toute façon pu être réparé devant le tribunal et le renvoi de la cause à l’autorité intimée constituerait une vaine formalité (ATF 142 II 218 consid. 2.8.1 ; 141 IV 155 consid. 5.2.2 ; 137 I 195 consid. 2.3.2 ; 135 I 279 consid. 2.6.1 ; arrêts du Tribunal fédéral 1C_415/2019 du 27 mars 2020 consid. 2.1 ; 2C_74/2019 du 13 mai 2019 consid. 3.1). Ce grief sera par conséquent écarté.</w:t>
      </w:r>
    </w:p>
    <w:p>
      <w:r>
        <w:rPr>
          <w:b/>
        </w:rPr>
        <w:t>E. 11</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12</w:t>
      </w:r>
    </w:p>
    <w:p>
      <w:r>
        <w:t>Pour déterminer la durée et s'il y a lieu de prononcer un retrait d'admonestation, la LCR distingue les infractions légères, moyennement graves et graves (art. 16a à 16c LCR). Commet en particulier une infraction grave, selon l'art. 16c al. 1 let. a LCR, la personne qui, en violant gravement les règles de la circulation, met sérieusement en danger la sécurité d'autrui ou en prend le risque.</w:t>
      </w:r>
    </w:p>
    <w:p>
      <w:r>
        <w:rPr>
          <w:b/>
        </w:rPr>
        <w:t>E. 13</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3.1 et 3.2 et les arrêts cités ; arrêt du Tribunal fédéral 1C_580/2017 du 1er octobre 2018 consid. 2.1).</w:t>
      </w:r>
    </w:p>
    <w:p>
      <w:r>
        <w:rPr>
          <w:b/>
        </w:rPr>
        <w:t>E. 14</w:t>
      </w:r>
    </w:p>
    <w:p>
      <w:r>
        <w:t>L'art. 16c al. 2 let. abis LCR prévoit qu'après une infraction grave, le permis de conduire est retiré pour vingt-quatre mois au minimum si, par une violation intentionnelle des règles fondamentales de la circulation routière, la personne accepte de courir un grand risque d’accident pouvant entrainer de graves blessures ou la mort, que ce soit en commettant des excès de vitesse particulièrement importants, en effectuant des dépassements téméraires ou en participant à des</w:t>
      </w:r>
    </w:p>
    <w:p>
      <w:r>
        <w:t>- 9/14 - A/1648/2023 courses de vitesse illicites avec des véhicules automobiles ; l’art. 90 al. 4 LCR s’applique.</w:t>
      </w:r>
    </w:p>
    <w:p>
      <w:r>
        <w:rPr>
          <w:b/>
        </w:rPr>
        <w:t>E. 15</w:t>
      </w:r>
    </w:p>
    <w:p>
      <w:r>
        <w:t>En vertu de l'art. 90 al. 4 LCR, l'art 16c al. 2 let. abis LCR est toujours applicable lorsque la vitesse maximale autorisée a été dépassée : a. d'au moins 40 km/h, là où la limite était fixée à 30 km/h ; b. d'au moins 50 km/h, là où la limite était fixée à 50 km/h ; c. d'au moins 60 km/h, là où la limite était fixée à 80 km/h ; d. d'au moins 80 km/h, là où la limite était fixée à plus de 80 km/h.</w:t>
      </w:r>
    </w:p>
    <w:p>
      <w:r>
        <w:rPr>
          <w:b/>
        </w:rPr>
        <w:t>E. 16</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disposition, qui rend incompressibles les durées minimales de retrait des permis, s'impose à l'autorité et aux tribunaux sans dérogation possible, même pour tenir compte des besoins professionnels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Dans ce cadre, il y a en particulier lieu de souligner le fait que les besoins professionnels ne permettent de moduler la sanction que lorsqu'en fonction des circonstances, l'autorité envisage de prononcer un retrait du permis de conduire d'une durée supérieure au minimum légal. En revanche, tant que la durée du retrait ne s'écarte pas de ce minimum, les besoins professionnels - ou d'autres besoins - ne peuvent avoir pour effet de réduire davantage la sanction (ATF 132 II 234, consid. 2.3 ; cf. aussi ATF 1C_585/2008 du 14 mai 2009, consid. 2.1 in fine et la jurisprudence citée). En outre, le fait que l'excès de vitesse ait été commis alors que les conditions de la circulation étaient favorables ou que le conducteur jouissait d'une excellente réputation en tant qu'automobiliste ne joue aucun rôle sur la gravité de l'infraction lorsque les seuils d'excès de vitesse fixés par la jurisprudence sont atteints, étant donné que ces seuils ont été fixés précisément en partant de ces prémisses (ATF 132 II 234, consid. 3 ; ATF 124 II 475, consid. 2a).</w:t>
      </w:r>
    </w:p>
    <w:p>
      <w:r>
        <w:rPr>
          <w:b/>
        </w:rPr>
        <w:t>E. 17</w:t>
      </w:r>
    </w:p>
    <w:p>
      <w:r>
        <w:t>Le principe de la proportionnalité, garanti par l'art. 5 al. 2 Cst., exige qu'une mesure restrictive soit apte à produire les résultats escomptés et que ceux-ci ne</w:t>
      </w:r>
    </w:p>
    <w:p>
      <w:r>
        <w:t>- 10/14 - A/1648/2023 puissent être atteints par une mesure moins incisive. En outre, il interdit toute limitation allant au-delà du but visé et exige un rapport raisonnable entre celui-ci et les intérêts publics ou privés compromis (ATF 142 I 49 consid. 9.1 et les références citées ; 126 I 219 consid. 2c).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76 consid. 3.5.1 ; 125 I 474 consid. 3 ; arrêt du Tribunal fédéral 1P. 269/2001 du 7 juin 2001 consid. 2c ; ATA/779/2018 du 24 juillet 2018 consid. 7).</w:t>
      </w:r>
    </w:p>
    <w:p>
      <w:r>
        <w:rPr>
          <w:b/>
        </w:rPr>
        <w:t>E. 18</w:t>
      </w:r>
    </w:p>
    <w:p>
      <w:r>
        <w:t>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138 III 378 consid.</w:t>
      </w:r>
    </w:p>
    <w:p>
      <w:r>
        <w:rPr>
          <w:b/>
        </w:rPr>
        <w:t>E. 19</w:t>
      </w:r>
    </w:p>
    <w:p>
      <w:r>
        <w:t>En l’espèce, le dépassement de la vitesse maximale autorisée imputable au recourant est de 58 km/h, marge de sécurité déduite, dans une zone limitée à 50 km/h, étant précisé que le recourant ne conteste pas la matérialité de ces faits. Une telle infraction doit être qualifiée de grave au sens de l’art. 16c al. 1 let. a LCR en lien avec la jurisprudence en matière de dépassement de vitesse. C'est le lieu de souligner que la procédure pénale en cours n'a à cet égard aucune incidence, dans la mesure où, comme on le verra ci-après, la décision litigieuse se contente de prononcer la sanction minimale pour ces faits, sans que l'autorité intimée ne dispose de la moindre marge de manœuvre à ce sujet. Comme rappelé ci-dessus, le permis est retiré pour deux ans au minimum lorsque l’auteur de l’infraction dépasse la vitesse maximale autorisée de 50 km/h là où la limite est fixée à 50 km/h et, à fortiori, lorsque le dépassement est, comme en l’espèce, de 58 km/h.</w:t>
      </w:r>
    </w:p>
    <w:p>
      <w:r>
        <w:t>- 11/14 - A/1648/2023 En l'occurrence, il ressort du dossier que l’OCV, prenant en compte les arguments invoqués par le recourant, a fixé à vingt-quatre mois la durée du retrait de son permis de conduire, soit le minimum légal prévu par l'art. 16c al. 2 let. abis LCR. Contrairement à ce que lui reproche le recourant, l’autorité intimée ne pouvait en aucune manière prendre en considération les circonstances du cas d’espèce et les besoins personnels et professionnels allégués par le précité pour prononcer un retrait d’une durée inférieure à vingt-quatre mois (cf. arrêt du Tribunal fédéral 1C_153/2015 du 23 avril 2015 consid. 5 ; C. MIZEL, Droit et pratique illustrée du retrait du permis de conduire, 2015, n. 78.5 p. 596 et la référence citée). Etant lié par cette durée, qui constitue le minimum légal incompressible devant sanctionner l'infraction en cause, l’OCV a correctement appliqué les règles en vigueur, sans violer le principe de la proportionnalité (art. 5 al. 2 Cst.) ni avoir excédé ou abusé de son pouvoir d'appréciation. Au surplus, comme cela ressort de la jurisprudence citée plus haut, les éléments invoqués par le recourant en lien avec les caractéristiques de la route, la bonne visibilité, l’absence de piétons ou d’autres automobilistes devant lui, ne permettent pas de faire abstraction de la limitation de vitesse et de considérer l'infraction comme étant un cas de gravité moindre.</w:t>
      </w:r>
    </w:p>
    <w:p>
      <w:r>
        <w:rPr>
          <w:b/>
        </w:rPr>
        <w:t>E. 20</w:t>
      </w:r>
    </w:p>
    <w:p>
      <w:r>
        <w:t>Le recourant se plaint également d’une violation du principe de la bonne foi.</w:t>
      </w:r>
    </w:p>
    <w:p>
      <w:r>
        <w:rPr>
          <w:b/>
        </w:rPr>
        <w:t>E. 21</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 Le droit à la protection de la bonne foi peut également être invoqué en présence simplement d'un comportement de l'administration, notamment en cas de silence de l'autorité dans une situation de fait contraire au droit, susceptible d'éveiller chez</w:t>
      </w:r>
    </w:p>
    <w:p>
      <w:r>
        <w:t>- 12/14 - A/1648/2023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22</w:t>
      </w:r>
    </w:p>
    <w:p>
      <w:r>
        <w:t>Le recourant considère, en substance, qu’en ordonnant l’expertise, l’OCV aurait laissé entendre qu’il prononcerait une mesure moins incisive, voire aucune mesure, à son encontre.</w:t>
      </w:r>
    </w:p>
    <w:p>
      <w:r>
        <w:rPr>
          <w:b/>
        </w:rPr>
        <w:t>E. 23</w:t>
      </w:r>
    </w:p>
    <w:p>
      <w:r>
        <w:t>Il convient de relever à cet égard que si l'aptitude à la conduite soulève des doutes, la personne concernée fera l'objet d'une enquête dans les cas énumérés de manière non exhaustive à l'art. 15d al. 1 let. a à e LCR (cf. arrêt du Tribunal fédéral 1C_531/2016 du 22 février 2017 consid. 2.1.1). Dans ce contexte, 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Cst., qu’en exposant les motifs déterminants et les circonstances bien établies qui lui commandent d’agir de la sorte. Par contre, lorsque les conclusions médicales paraissent insuffisantes ou lacunaires, le juge se doit de les faire compléter (Cédric MIZEL, « Aptitude à la conduite automobile, exigences médicales, procédure d'examen et secret médical », AJP/PJA 2008 p 596 ; cf.</w:t>
      </w:r>
    </w:p>
    <w:p>
      <w:r>
        <w:t>- 13/14 - A/1648/2023 aussi ATF 133 II 384 consid. 4.2.3 ; 118 Ia 144 consid. 1c ; arrêt du Tribunal fédéral 1C_359/2008 du 23 février 2009 consid. 2.2). En l’occurrence, compte tenu du grave excès de vitesse de 58 km commis par le recourant à l’intérieur d’une localité où la vitesse était limitée à 50 km, l’OCV a ordonné une expertise dans l’unique but d’évaluer son aptitude à conduire et non pas de se prononcer sur un éventuel retrait ni, a fortiori sur sa durée. Ce faisant, l’OCV n’a nullement laissé entendre qu’il renoncerait à prendre une quelconque mesure à son encontre ou qu’il prononcerait une mesure plus clémente que celle dont le recourant fait l’objet. De plus, aucun élément n’indique que l’OCV aurait donné une quelconque assurance au recourant allant dans ce sens ni qu’il aurait créé la moindre attente ou espérance légitime à cet égard. Au contraire, l’OCV a précisé dans sa décision du 21 octobre 2022, dans laquelle il ordonnait l’expertise, qu’il rendrait une décision finale lorsque les questions relatives à son aptitude à conduire auraient été élucidée. Enfin, il ne ressort pas du dossier que, se fondant sur le comportement de l’autorité intimée, le recourant aurait pris de quelconques dispositions qu'il ne pourrait modifier sans subir de préjudice. Partant, ce grief doit être écarté.</w:t>
      </w:r>
    </w:p>
    <w:p>
      <w:r>
        <w:rPr>
          <w:b/>
        </w:rPr>
        <w:t>E. 24</w:t>
      </w:r>
    </w:p>
    <w:p>
      <w:r>
        <w:t>Enfin, le recourant estime que la mesure administrative prononcée à son encontre, à laquelle s’ajouterait la future mesure pénale, lui ferait supporter une double sanction. Or, selon la jurisprudence constante du Tribunal fédéral, une même violation des règles de la circulation peut entraîner tant une sanction administrative que pénale sans violer le principe ne bis in idem (arrêt 1C_32/2015 du 18 juin 2015 consid. 5.2 et jurisprudence citée ; arrêt 2C_751/2014 du 23 février 2015 consid. 5.3; arrêt 1C_55/2014 du 9 janvier 2015 précité consid. 2.3 et jurisprudence citée ; ATF 128 II 133; 125 II 402).</w:t>
      </w:r>
    </w:p>
    <w:p>
      <w:r>
        <w:rPr>
          <w:b/>
        </w:rPr>
        <w:t>E. 25</w:t>
      </w:r>
    </w:p>
    <w:p>
      <w:r>
        <w:t>Au vu de ce qui précède, c’est à bon droit que l’autorité intimée a prononcé la décision querellée, retirant le permis de conduire à l’essai du recourant pour une durée de vingt-quatre mois.</w:t>
      </w:r>
    </w:p>
    <w:p>
      <w:r>
        <w:rPr>
          <w:b/>
        </w:rPr>
        <w:t>E. 26</w:t>
      </w:r>
    </w:p>
    <w:p>
      <w:r>
        <w:t>Mal fondé, le recours est rejeté.</w:t>
      </w:r>
    </w:p>
    <w:p>
      <w:r>
        <w:rPr>
          <w:b/>
        </w:rPr>
        <w:t>E. 27</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- 14/14 - A/1648/2023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