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JTAPI/130/2024 vom 15. Februar 2024</w:t>
      </w:r>
    </w:p>
    <w:p>
      <w:r>
        <w:t>GE Cour de justice, 2024-02-15, FR</w:t>
      </w:r>
    </w:p>
    <w:p>
      <w:r>
        <w:rPr>
          <w:b/>
        </w:rPr>
        <w:t xml:space="preserve">Quelle: </w:t>
      </w:r>
      <w:r>
        <w:t>https://mcp.opencaselaw.ch/entscheid/ge_gerichte_JTAPI_130_2024</w:t>
      </w:r>
    </w:p>
    <w:p>
      <w:r>
        <w:t>FR: GE_GERICHTE JTAPI/130/2024 du 15 février 2024</w:t>
      </w:r>
    </w:p>
    <w:p>
      <w:r>
        <w:t>IT: GE_GERICHTE JTAPI/130/2024 del 15 febbraio 2024</w:t>
      </w:r>
    </w:p>
    <w:p>
      <w:pPr>
        <w:pStyle w:val="Heading2"/>
      </w:pPr>
      <w:r>
        <w:t>Erwägungen</w:t>
      </w:r>
    </w:p>
    <w:p>
      <w:r>
        <w:rPr>
          <w:b/>
        </w:rPr>
        <w:t>E. 7</w:t>
      </w:r>
    </w:p>
    <w:p>
      <w:r>
        <w:t>Le 8 novembre 2023, sous la plume de son conseil, C______ a transmis ses observations, concluant au rejet du recours. Le recours se limitait à un seul et unique grief, soit la violation du principe de précaution. La jurisprudence constante retenait qu'en l'état actuel des</w:t>
      </w:r>
    </w:p>
    <w:p>
      <w:r>
        <w:t>- 4/14 - A/2870/2023 connaissances scientifiques il n'était pas possible d'invoquer ce principe pour s'opposer à la technologie 5G si les VL prévues par l'ORNI étaient respectées, ce qui était le cas en l'espèce. À toutes fins utiles, il convenait de prendre en considération que l'autorisation de construire querellée que l'année était assortie de la condition que des mesures de contrôle fussent effectuées. Si ces mesures devaient révéler une non-conformité, la puissance devrait être réduite en conséquence. En outre, l'installation devrait être intégrée dans le système d'assurance qualité afin de garantir le respect des valeurs limite sur le long terme, système dont la fiabilité avait encore été reconnue tout récemment par le Tribunal fédéral. Le développement de recourant entre revenait donc à lui faire un procès d'intention, en l'accusant de ne pas respecter les conditions dont l'autorisation de construire était assortie. Enfin, la recourante, à l'instar d'autres communes urbaines genevoises, tentait d'imposer un moratoire sur le déploiement de la 5G dans le but de protéger la population contre le rayonnement non ionisant, moratoire qui était manifestement contraire au droit fédéral, lequel qui réglait de manière exhaustive les exigences environnementales posées aux installations de téléphonie mobile.</w:t>
      </w:r>
    </w:p>
    <w:p>
      <w:r>
        <w:rPr>
          <w:b/>
        </w:rPr>
        <w:t>E. 8</w:t>
      </w:r>
    </w:p>
    <w:p>
      <w:r>
        <w:t>Le 14 novembre 2023, le département a transmis ses observations, accompagnées de son dossier. Il a conclu au rejet du recours. Le SABRA, instance de préavis spécialisées, avait examiné la fiche de données spécifiques au site du 3 février 2022. Après avoir analysé le projet ainsi que les documents techniques remis, cette instance s'était prononcée favorablement au projet, sous conditions, considérant qu'elle était conforme à l'ORNI ainsi qu'au règlement cantonal en la matière. D'après la fiche de données spécifiques au site, la VLInst (5.0 V/m) était respectée, le rayonnement dans le LUS le plus chargé étant de 4.95 V/m. De plus, l'autorisation de construire avait été assortie d'une obligation d'effectuer des mesures de contrôle lors de la réception. Le SABRA avait constaté qu'il n'y avait pas de lieux normalement accessibles où la valeur limite d'émission était épuisée, de sorte que l'installation était pleinement conforme à l'ORNI et au RPRNI. L'opérateur devait également s'engager à intégrer les antennes de cette installation dans son système d'assurance qualité afin de lui permettre de surveiller les données d'exploitation conformément aux directives à cet égard, le Tribunal fédéral avait jugé qu'il n'y avait pas lieu de remettre en cause l'adéquation des systèmes d'assurance qualité. Il n'y avait donc aucune violation du principe de précaution dans la présente espèce.</w:t>
      </w:r>
    </w:p>
    <w:p>
      <w:r>
        <w:rPr>
          <w:b/>
        </w:rPr>
        <w:t>E. 9</w:t>
      </w:r>
    </w:p>
    <w:p>
      <w:r>
        <w:t>Le 7 décembre 2023, la ville a répliqué, persistant dans ses conclusions et son argumentation. La fiche de données spécifiques au site indiquait la puissance ERPn déterminante pour l'antenne qui, avec la limitation de puissance automatique, devait être respectée, mais n'indiquait pas quelle était la puissance maximum qui pouvait, sporadiquement, être émise par l'antenne. De plus, les antennes adaptatives étaient</w:t>
      </w:r>
    </w:p>
    <w:p>
      <w:r>
        <w:t>- 5/14 - A/2870/2023 susceptibles d'émettre jusqu'à dix fois au-delà des VL prévues par l'ORNI sur une courte période, ce qui constituait des risques sérieux pour la santé.</w:t>
      </w:r>
    </w:p>
    <w:p>
      <w:r>
        <w:rPr>
          <w:b/>
        </w:rPr>
        <w:t>E. 10</w:t>
      </w:r>
    </w:p>
    <w:p>
      <w:r>
        <w:t>Le 18 décembre 2023, C______ a dupliqué, maintenant ses conclusions et son argumentation. La puissance maximale à laquelle une antenne adaptative pouvait émettre pendant des brefs instants correspondait à la puissance indiquée dans la fiche de données spécifique au site, divisée par le facteur de correction correspondant au nombre de sub-arrays également indiqué dans ladite fiche. Concernant les émissions des antennes adaptatives, une limitation de puissance automatique devait nécessairement être présente sur l'antenne et le facteur de corrections desdites antennes devait être enregistré dans le système d'assurance qualité de l'opérateur. La limitation de puissance automatique détectait en permanence la puissance totale émise par une antenne adaptative. En outre, le 24 mai 2022, l'OFEV avait publié un rapport fédéral relatif aux mesures d'exposition aux rayonnements ionisants occasionnés par les antennes 5G, dont il ressortait que les valeurs mesurées étaient nettement inférieures aux valeurs limites, lesquelles étaient déterminantes s'agissant des effets sur la santé.</w:t>
      </w:r>
    </w:p>
    <w:p>
      <w:r>
        <w:rPr>
          <w:b/>
        </w:rPr>
        <w:t>E. 11</w:t>
      </w:r>
    </w:p>
    <w:p>
      <w:r>
        <w:t>Le 12 janvier 2024, le département a dupliqué, persistant dans ses observations du</w:t>
      </w:r>
    </w:p>
    <w:p>
      <w:r>
        <w:rPr>
          <w:b/>
        </w:rPr>
        <w:t>E. 14</w:t>
      </w:r>
    </w:p>
    <w:p>
      <w:r>
        <w:t>Sur cette base, l'OFEV a publié le 23 février 2021 un document intitulé « Explications concernant les antennes adaptatives et leur évaluation selon l’ORNI » (ci-après: explications OFEV - https://www.newsd.admin.ch/newsd/ message/attachments/65389.pdf;). Il y est expressément indiqué que l'ORNI s’applique aussi bien à la technologie de téléphonie mobile de type 2G (GSM), 3G (UMTS), 4G (LTE) ou 5G (New Radio) (Explications OFEV, p. 3).</w:t>
      </w:r>
    </w:p>
    <w:p>
      <w:r>
        <w:rPr>
          <w:b/>
        </w:rPr>
        <w:t>E. 15</w:t>
      </w:r>
    </w:p>
    <w:p>
      <w:r>
        <w:t>Aussi en date du 23 février 2021, l'OFEV a publié un complément à la recommandation d'exécution de l'ORNI concernant les stations de base pour téléphonie mobile et raccordements sans fil (WLL) de l'OFEFP (actuellement : OFEV) de 2002 (ci-après: le complément – https://www.newsd.admin.ch/ newsd/message/attachments/65394.pdf).</w:t>
      </w:r>
    </w:p>
    <w:p>
      <w:r>
        <w:rPr>
          <w:b/>
        </w:rPr>
        <w:t>E. 16</w:t>
      </w:r>
    </w:p>
    <w:p>
      <w:r>
        <w:t>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AQ utilisés par les opérateurs (p. 6).</w:t>
      </w:r>
    </w:p>
    <w:p>
      <w:r>
        <w:t>- 9/14 - A/2870/2023</w:t>
      </w:r>
    </w:p>
    <w:p>
      <w:r>
        <w:rPr>
          <w:b/>
        </w:rPr>
        <w:t>E. 17</w:t>
      </w:r>
    </w:p>
    <w:p>
      <w:r>
        <w:t>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https://www.newsd.admin.ch/newsd/message/att 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nettement inférieures aux VL, déterminantes en ce qui concerne les effets sur la santé (rapport 2021 sur la 5G, p. 58).</w:t>
      </w:r>
    </w:p>
    <w:p>
      <w:r>
        <w:rPr>
          <w:b/>
        </w:rPr>
        <w:t>E. 18</w:t>
      </w:r>
    </w:p>
    <w:p>
      <w:r>
        <w:t>Une nouvelle installation de radiocommunications mobiles et son exploitation ne peuvent être approuvées que si, sur la base d'une prévision mathématique, il est assuré que les VL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19</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w:t>
      </w:r>
    </w:p>
    <w:p>
      <w:r>
        <w:t>- 10/14 - A/2870/2023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VL ultérieurement, c'est-à-dire après la mise en service de l'installation (cf. ATF 130 II 32 consid. 2.4).</w:t>
      </w:r>
    </w:p>
    <w:p>
      <w:r>
        <w:rPr>
          <w:b/>
        </w:rPr>
        <w:t>E. 20</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E______ SA a mis en place un tel système de sécurité.</w:t>
      </w:r>
    </w:p>
    <w:p>
      <w:r>
        <w:rPr>
          <w:b/>
        </w:rPr>
        <w:t>E. 21</w:t>
      </w:r>
    </w:p>
    <w:p>
      <w:r>
        <w:t>Le Tribunal fédéral a reconnu le système d'assurance-qualité comme un instrument de contrôle performant et n'a pas considéré nécessaire de recourir à un contrôle par des mesures de construction (arrêt du Tribunal fédéral 1C_282/2008 du 7 avril 2009 consid. 3.5).</w:t>
      </w:r>
    </w:p>
    <w:p>
      <w:r>
        <w:rPr>
          <w:b/>
        </w:rPr>
        <w:t>E. 22</w:t>
      </w:r>
    </w:p>
    <w:p>
      <w:r>
        <w:t>Les VL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23</w:t>
      </w:r>
    </w:p>
    <w:p>
      <w:r>
        <w:t>Dans la mesure où la LPE et l'ORNI sont respectés, un projet ne peut être source d'inconvénients graves pour le voisinage au sens de l'art. 14 LCI (ATA/404/2016 du 10 mai 2016 consid. 10 ; ATA/609/2004 du 5 août 2004 consid. 4c).</w:t>
      </w:r>
    </w:p>
    <w:p>
      <w:r>
        <w:rPr>
          <w:b/>
        </w:rPr>
        <w:t>E. 24</w:t>
      </w:r>
    </w:p>
    <w:p>
      <w:r>
        <w:t>Enfin, selon une jurisprudence bien établie, le tribunal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w:t>
      </w:r>
    </w:p>
    <w:p>
      <w:r>
        <w:t>- 11/14 - A/2870/2023 loi (ATA/332/2022 du 29 mars 2022 consid. 4b ; ATA/1098/2019 du 25 juin 2019 consid. 2e).</w:t>
      </w:r>
    </w:p>
    <w:p>
      <w:r>
        <w:rPr>
          <w:b/>
        </w:rPr>
        <w:t>E. 25</w:t>
      </w:r>
    </w:p>
    <w:p>
      <w:r>
        <w:t>En l'espèce, d'après la fiche de données spécifique au site du 3 février 2022 produite par C______ et sur laquelle se fonde l’autorisation querellée, la VLInst à respecter est celle prévue à l'art. 3 al. 3 let. c ORNI, soit 5.0 V/m. S'agissant du rayonnement dans les LUS les plus chargés, toutes les mesures présentent une intensité de champ électrique inférieure à la VLInst fixée à 5.0 V/m, quand bien même ce serait de justesse. Ces mesures ont été vérifiées par le SABRA, autorité spécialisée compétente, sans que celle-ci n'ait mis en doute leur véracité. Partant, en l'absence d'éléments indiquant le contraire, il n'y a pas lieu pour le tribunal de remettre en cause les mesures figurant dans cette fiche, validée par le SABRA, étant rappelé que, conformément à la jurisprudence précitée, il appartient au tribunal d’observer une certaine retenue afin d’éviter de substituer sa propre appréciation à celle des instances spécialisées lorsque l’autorité inférieure a suivi l’avis de celles-ci, ce qui est le cas en l’espèce, étant en outre rappelé que l’ensemble des autres instances spécialisées consultées se sont également prononcées favorablement.</w:t>
      </w:r>
    </w:p>
    <w:p>
      <w:r>
        <w:t>Globalement, la procédure suivie par le département n'est pas critiquable. Le permis de construire délivré garantit le respect des VL pertinentes, par le biais des conditions associées comprises dans le préavis du SABRA du 12 juin 2023, notamment l’obligation d’effectuer des mesures de contrôle lors de la réception, au LUS n° 9, où les immissions sont supérieures à 80 % de la VLInst dans des directions proches du rayon principal, conformément à la recommandation de l’ORNI (OFEFP 2002, chap. 2.1.8). A en outre également été requise par ce service l’intégration de cette installation dans le système d'assurance-qualité de C______. Or, c'est précisément ce mécanisme de contrôle rétrospectif qui garantit que les calculs effectués à l'avance pourront être corrigés si nécessaire, au cas où la réalité ultérieure ne correspondrait pas aux hypothèses prévues. Cette façon de procéder respecte les dispositions légales et réglementaires citées plus haut et n’apparaît, contrairement aux allégations de la recourante, pas problématique, sauf à partir du postulat, non démontré au demeurant, que l’opérateur concerné ne se conformera pas aux conditions qui lui sont imposées. Il sied à cet égard de préciser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comme le souhaite la recourante.</w:t>
      </w:r>
    </w:p>
    <w:p>
      <w:r>
        <w:t>L’allégation de la recourante selon laquelle la fiche de données spécifique au site serait lacunaire, notamment eu égard au fait qu’elle ne mentionne pas la puissance maximale à laquelle les antennes adaptatives concernées pourraient émettre, ne saurait conduire à une autre conclusion. Il ressort en effet du développement qui</w:t>
      </w:r>
    </w:p>
    <w:p>
      <w:r>
        <w:t>- 12/14 - A/2870/2023 précède que les valeurs fixées par les dispositions légales et réglementaires applicables, dont le bien-fondé a été confirmé par la jurisprudence fédérale, sont in casu remplies. Partant, aucune disposition légale ni réglementaire n’imposait la présence d’informations complémentaires dans la fiche de données spécifique. Il sera en outre rappelé que l'examen de la légalité d'une autorisation de construire se fonde sur l'objet tel qu'autorisé, en partant du principe qu'il sera construit et exploité conformément à l'autorisation délivrée, faute d’éléments probants susceptibles de démontrer le contraire, non fournis en l’espèce. Le même raisonnement s’applique s’agissant des divers rapports et études cités par la recourante qui auraient, selon elle, dû être pris en compte pour en déduire l’existence d’un danger pour la santé en lien avec les rayonnements non ionisants des antennes adaptatives, dès lors que, conformément à la jurisprudence, le Tribunal fédéral a considéré qu’il n’existait, en l’état, pas d’indices suffisants permettant de retenir que l’utilisation d’antennes adaptatives conformément au cadre légal et réglementaire en vigueur présenterait un risque pour la santé.</w:t>
      </w:r>
    </w:p>
    <w:p>
      <w:r>
        <w:t>Quant à la présence à proximité de l’installation litigieuse de nombreux logements, d'une école et de l'D______, situation constitutive, selon la recourante d’un risque accru, il sera rappelé qu’un certain nombre de LUS ont été dûment identifiés. En outre, il ressort des calculs effectués conformément aux recommandations de l'OFEV, reportés sur la fiche de données spécifique, que les VL prévues par l'ORNI n’y sont, comme vu supra, pas atteintes. Partant, contrairement aux allégations de la recourante, rien ne laisse à penser que certains LUS situés à proximité de l’installation litigieuse auraient été écartés à tort. En particulier, en qualifiant la situation de l'école de problématique au motif que l’intensité des rayonnements non ionisants y serait particulièrement importante lors des pauses en raison de l’activation simultanée par les élèves de leurs téléphones portables, il apparaît que la recourante se contente de substituer sa propre appréciation à celle de l’instance spécialisée qui, comme vu supra, n’a pas jugé utile de solliciter des mesurages supplémentaires pour les emplacements identifiés par la recourante, étant en outre rappelé que, conformément à la jurisprudence, dans la mesure où la LPE et l'ORNI sont respectés, le projet autorisé ne peut être considéré comme une source d'inconvénients graves pour le voisinage.</w:t>
      </w:r>
    </w:p>
    <w:p>
      <w:r>
        <w:t>Partant, dès lors que les VLInst sont respectées dans le présent cas, il convient d'admettre que le principe de précaution, en lien avec la LPE, n'a pas été violé.</w:t>
      </w:r>
    </w:p>
    <w:p>
      <w:r>
        <w:t>Par conséquent, eu égard aux développements qui précèdent, le tribunal constate qu’en octroyant l'autorisation de construire querellée sur la base de la prévision que l'installation respecterait les VLInst, moyennant les réserves émises dans le préavis - favorable sous conditions - du SABRA du 12 juin 2023, la décision du département est conforme au droit fédéral.</w:t>
      </w:r>
    </w:p>
    <w:p>
      <w:r>
        <w:rPr>
          <w:b/>
        </w:rPr>
        <w:t>E. 26</w:t>
      </w:r>
    </w:p>
    <w:p>
      <w:r>
        <w:t>En conclusion, intégralement mal fondé, le recours sera rejeté.</w:t>
      </w:r>
    </w:p>
    <w:p>
      <w:r>
        <w:t>- 13/14 - A/2870/2023</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rPr>
          <w:b/>
        </w:rPr>
        <w:t>E. 28</w:t>
      </w:r>
    </w:p>
    <w:p>
      <w:r>
        <w:t>Vu l'issue du litige, une indemnité de procédure de CHF 1'500.-, à la charge de la recourante, sera allouée à C______ (art. 87 al. 2 à 4 LPA et 6 RFPA).</w:t>
      </w:r>
    </w:p>
    <w:p>
      <w:r>
        <w:t>- 14/14 - A/2870/2023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