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JTAPI/1298/2024 vom 23. Dezember 2024</w:t>
      </w:r>
    </w:p>
    <w:p>
      <w:r>
        <w:t>GE Cour de justice, 2024-12-23, FR</w:t>
      </w:r>
    </w:p>
    <w:p>
      <w:r>
        <w:rPr>
          <w:b/>
        </w:rPr>
        <w:t xml:space="preserve">Quelle: </w:t>
      </w:r>
      <w:r>
        <w:t>https://mcp.opencaselaw.ch/entscheid/ge_gerichte_JTAPI_1298_2024</w:t>
      </w:r>
    </w:p>
    <w:p>
      <w:r>
        <w:t>FR: GE_GERICHTE JTAPI/1298/2024 du 23 décembre 2024</w:t>
      </w:r>
    </w:p>
    <w:p>
      <w:r>
        <w:t>IT: GE_GERICHTE JTAPI/1298/2024 del 23 dicembre 2024</w:t>
      </w:r>
    </w:p>
    <w:p>
      <w:pPr>
        <w:pStyle w:val="Heading2"/>
      </w:pPr>
      <w:r>
        <w:t>Erwägungen</w:t>
      </w:r>
    </w:p>
    <w:p>
      <w:r>
        <w:rPr>
          <w:b/>
        </w:rPr>
        <w:t>E. 1</w:t>
      </w:r>
    </w:p>
    <w:p>
      <w:r>
        <w:t>Le Tribunal administratif de première instance connaît des oppositions aux mesures d'éloignement prononcées par le commissaire de police et de leurs demandes de prolongation (art. 11 al. 1 et 2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et 2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w:t>
      </w:r>
    </w:p>
    <w:p>
      <w:r>
        <w:t>- 5/6 - A/4256/2024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déclarations des parties sont contradictoires sans qu'il ne soit possible d'établir ce qu'il s'est réellement passé en l'absence d'autres preuves que les déclarations des protagonistes. Par ailleurs, les derniers évènements, à suivre la version de M. B______, se seraient passés il y a plus d'un mois. La violence domestique, au sens défini plus haut, n'est pas avérée ni présumée dans le cas d'espèce. Par ailleurs, M. B______ a expliqué qu'il ne voyait pas de problèmes à cohabiter avec son épouse et que cela pourrait bien se passer. La volonté de ce dernier au maintien de la mesure d'éloignement et à sa prolongation apparait plus dictée par son désir de séparation que par la peur de subir des violences domestiques. Or, la mesure d'éloignement n'a pas pour but de permettre l'organisation de la séparation civile mais d'éviter le risque de réitération de violences.</w:t>
      </w:r>
    </w:p>
    <w:p>
      <w:r>
        <w:rPr>
          <w:b/>
        </w:rPr>
        <w:t>E. 6</w:t>
      </w:r>
    </w:p>
    <w:p>
      <w:r>
        <w:t>Par conséquent, l'opposition sera admise et la demande de prolongation rejetée.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- 6/6 - A/4256/2024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