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JTAPI/1295/2024 vom 23. Dezember 2024</w:t>
      </w:r>
    </w:p>
    <w:p>
      <w:r>
        <w:t>GE Cour de justice, 2024-12-23, FR</w:t>
      </w:r>
    </w:p>
    <w:p>
      <w:r>
        <w:rPr>
          <w:b/>
        </w:rPr>
        <w:t xml:space="preserve">Quelle: </w:t>
      </w:r>
      <w:r>
        <w:t>https://mcp.opencaselaw.ch/entscheid/ge_gerichte_JTAPI_1295_2024</w:t>
      </w:r>
    </w:p>
    <w:p>
      <w:r>
        <w:t>FR: GE_GERICHTE JTAPI/1295/2024 du 23 décembre 2024</w:t>
      </w:r>
    </w:p>
    <w:p>
      <w:r>
        <w:t>IT: GE_GERICHTE JTAPI/1295/2024 del 23 dicembre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w:t>
      </w:r>
    </w:p>
    <w:p>
      <w:r>
        <w:rPr>
          <w:b/>
        </w:rPr>
        <w:t>E. 2.3</w:t>
      </w:r>
    </w:p>
    <w:p>
      <w:r>
        <w:t>et 133 II 1 consid. 5.1 ; arrêts du Tribunal fédéral 2C_765/2015 du 18 septembre</w:t>
      </w:r>
    </w:p>
    <w:p>
      <w:r>
        <w:t>- 6/8 - A/4226/2024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w:t>
      </w:r>
    </w:p>
    <w:p>
      <w:r>
        <w:rPr>
          <w:b/>
        </w:rPr>
        <w:t>E. 2.3.1</w:t>
      </w:r>
    </w:p>
    <w:p>
      <w:r>
        <w:t>; arrêts du Tribunal fédéral 2C_26/2013 du 29 janvier 2013 consid. 3.1 ; 2C_420/2011 du 9 juin 2011 consid. 4.1 ; 2C_974/2010 du 11 janvier 2011 consid.</w:t>
      </w:r>
    </w:p>
    <w:p>
      <w:r>
        <w:rPr>
          <w:b/>
        </w:rPr>
        <w:t>E. 3</w:t>
      </w:r>
    </w:p>
    <w:p>
      <w:r>
        <w:t>En l’espèce, M. A______ a, par courrier du 19 décembre 2024, sollicité le contrôle par le tribunal de la légalité et de l’adéquation de sa détention.</w:t>
      </w:r>
    </w:p>
    <w:p>
      <w:r>
        <w:rPr>
          <w:b/>
        </w:rPr>
        <w:t>E. 3.1</w:t>
      </w:r>
    </w:p>
    <w:p>
      <w:r>
        <w:t>; 2C_756/2009 du 15 décembre 2009 consid. 2.1).</w:t>
      </w:r>
    </w:p>
    <w:p>
      <w:r>
        <w:rPr>
          <w:b/>
        </w:rPr>
        <w:t>E. 4</w:t>
      </w:r>
    </w:p>
    <w:p>
      <w:r>
        <w:t>Le tribunal peut confirmer, réformer ou annuler la décision du commissaire de police ; le cas échéant, il ordonne la mise en liberté de l’étranger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- 5/8 - A/4226/2024</w:t>
      </w:r>
    </w:p>
    <w:p>
      <w:r>
        <w:rPr>
          <w:b/>
        </w:rPr>
        <w:t>E. 6</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7</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8</w:t>
      </w:r>
    </w:p>
    <w:p>
      <w:r>
        <w:t>Selon l'art. 76a al. 2 LEI, les éléments concrets font craindre que l'étranger entende se soustraire à l'exécution du renvoi si son comportement en Suisse ou à l’étranger permet de conclure qu’il refuse d’obtempérer aux instructions des autorités (let. b) ou s’il quitte la région qui lui est assignée ou pénètre dans une zone qui lui est interdite en vertu de l’art. 74 (let. d).</w:t>
      </w:r>
    </w:p>
    <w:p>
      <w:r>
        <w:rPr>
          <w:b/>
        </w:rPr>
        <w:t>E. 9</w:t>
      </w:r>
    </w:p>
    <w:p>
      <w:r>
        <w:t>Les motifs énumérés, de manière exhaustive, à l'art. 76a al. 2 LEI correspondent en principe à ceux déjà retenus aux art. 75 et 76 LEI (Gregor CHATTON/Laurent MERZ in Code annoté de droit des migrations, volume II : loi sur les étrangers, n° 2.5 ad art. 76a, p. 808).</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12</w:t>
      </w:r>
    </w:p>
    <w:p>
      <w:r>
        <w:t>En l'occurrence, M. A______ a été condamné à deux reprises, en moins de dix jours, notamment pour plusieurs vols commis sur le canton de Genève. Il n’a surtout pas respecté la décision d’interdiction de pénétrer dans le canton de Genève prise à son encontre le 4 décembre 2024 et a été condamné pour ce motif le 11 décembre 2024, par le Ministère public. Il ne ressort pas du dossier qu’il aurait de quelconques attaches à Genève ni de lieu de résidence, ayant du reste déclaré vivre en France, pays où il n'aurait pas déposé l'asile - ses déclarations étant contradictoires à ce sujet (c.f. PV d'audition du 11 décembre 2024 et observations du 20 décembre 2024) -, et où il ne souhaite pas être renvoyé. L’assurance de son départ de Suisse répond par ailleurs à un intérêt public certain et le risque qu’il se soustraie à son renvoi en cas de remise en liberté ne peut être écarté, étant souligné qu'à teneur du dossier des autorités, il a déposé deux demandes d’asile, une en France et une aux Pays-Bas et qu’à ce jour, les autorités ne savent pas vers quel pays il sera renvoyé. Les conditions pour une détention fondée sur l’art. 76 a al. 2 let. b et d LEI sont dès lors remplies. Par ailleurs et contrairement à ce que soutient M. A______, sa détention administrative ne doit pas nécessairement être fondée sur une décision de renvoi ou une décision d'expulsion judiciaire. En effet, l'art. 76 a LEI ne le prévoit pas, à l'inverse de l'art. 76 LEI.</w:t>
      </w:r>
    </w:p>
    <w:p>
      <w:r>
        <w:t>- 7/8 - A/4226/2024</w:t>
      </w:r>
    </w:p>
    <w:p>
      <w:r>
        <w:rPr>
          <w:b/>
        </w:rPr>
        <w:t>E. 13</w:t>
      </w:r>
    </w:p>
    <w:p>
      <w:r>
        <w:t>Par ailleurs, la détention ordonnée respecte le principe de proportionnalité. Aucune autre mesure moins incisive ne permet de s’assurer de la présence de l’intéressé au moment où son renvoi devra être exécuté et, notamment pas, une simple remise en liberté comme le requière M. A______. À noter que ce dernier n’ayant ni attaches ni lieu de résidence à Genève, il n'est pas possible de l'assigner dans une résidence qu'il n'a pas. Enfin, la durée de la détention décidée par le commissaire de police respecte le cadre légal fixé par l'art. 76a al. 3 LEI et est adéquate pour assurer l'exécution du renvoi, étant relevé que les démarches en vue de la réadmission de M. A______ ont immédiatement été initiées et sont toujours en cours.</w:t>
      </w:r>
    </w:p>
    <w:p>
      <w:r>
        <w:rPr>
          <w:b/>
        </w:rPr>
        <w:t>E. 14</w:t>
      </w:r>
    </w:p>
    <w:p>
      <w:r>
        <w:t>Eu égard à l'ensemble des circonstances, il y a lieu de confirmer l'ordre de mise en détention administrative pris pour une durée de sept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A/4226/2024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