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JTAPI/1293/2024 vom 20. Dezember 2024</w:t>
      </w:r>
    </w:p>
    <w:p>
      <w:r>
        <w:t>GE Cour de justice, 2024-12-20, FR</w:t>
      </w:r>
    </w:p>
    <w:p>
      <w:r>
        <w:rPr>
          <w:b/>
        </w:rPr>
        <w:t xml:space="preserve">Quelle: </w:t>
      </w:r>
      <w:r>
        <w:t>https://mcp.opencaselaw.ch/entscheid/ge_gerichte_JTAPI_1293_2024</w:t>
      </w:r>
    </w:p>
    <w:p>
      <w:r>
        <w:t>FR: GE_GERICHTE JTAPI/1293/2024 du 20 décembre 2024</w:t>
      </w:r>
    </w:p>
    <w:p>
      <w:r>
        <w:t>IT: GE_GERICHTE JTAPI/1293/2024 del 20 dicembre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rPr>
          <w:b/>
        </w:rPr>
        <w:t>E. 2</w:t>
      </w:r>
    </w:p>
    <w:p>
      <w:r>
        <w:t>Il doit y procéder dans les nonante-six heures qui suivent l'ordre de mise en détention (art. 80 al. 2 de la loi fédérale sur les étrangers et l’intégration du 16 décembre 2005 - LEI - RS 142.20 ; 9 al. 3 LaLEtr).</w:t>
      </w:r>
    </w:p>
    <w:p>
      <w:r>
        <w:rPr>
          <w:b/>
        </w:rPr>
        <w:t>E. 3</w:t>
      </w:r>
    </w:p>
    <w:p>
      <w:r>
        <w:t>En l'espèce, le tribunal a été valablement saisi et respecte le délai précité en statuant ce jour, la détention administrative ayant débuté le 19 décembre 2024 à 14h00.</w:t>
      </w:r>
    </w:p>
    <w:p>
      <w:r>
        <w:rPr>
          <w:b/>
        </w:rPr>
        <w:t>E. 3.1</w:t>
      </w:r>
    </w:p>
    <w:p>
      <w:r>
        <w:t>; 2C_756/2009 du 15 décembre 2009 consid. 2.1).</w:t>
      </w:r>
    </w:p>
    <w:p>
      <w:r>
        <w:rPr>
          <w:b/>
        </w:rPr>
        <w:t>E. 4</w:t>
      </w:r>
    </w:p>
    <w:p>
      <w:r>
        <w:t>Selon l’art. 76 al. 1 let. b LEI, lorsqu'une décision de renvoi ou d'expulsion a été notifiée, l'autorité compétente peut, afin d'en assurer l'exécution, placer la personne concernée en détention administrative, notamment : si celle-ci a été condamnée pour crime (ch. 1 renvoyant à l'art. 75 al. 1 let. h LEI), par quoi il faut entendre une infraction passible d’une peine privative de liberté de plus</w:t>
      </w:r>
    </w:p>
    <w:p>
      <w:r>
        <w:t>- 6/10 - A/4217/2024 de 3 ans (art. 10 al. 2 CP ; cf. ATA/295/2011 du 12 mai 2011 consid. 4), ou menace sérieusement d'autres personnes ou met gravement en danger leur vie ou leur intégrité corporelle et fait l'objet d'une poursuite pénale ou a été condamnée pour ce motif (ch. 1 renvoyant à l'art. 75 al. 1 let. g LEI).</w:t>
      </w:r>
    </w:p>
    <w:p>
      <w:r>
        <w:rPr>
          <w:b/>
        </w:rPr>
        <w:t>E. 5</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6</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w:t>
      </w:r>
    </w:p>
    <w:p>
      <w:r>
        <w:rPr>
          <w:b/>
        </w:rPr>
        <w:t>E. 7</w:t>
      </w:r>
    </w:p>
    <w:p>
      <w:r>
        <w:t>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w:t>
      </w:r>
    </w:p>
    <w:p>
      <w:r>
        <w:t>- 7/10 - A/4217/2024 août 2004 consid. 3.1 in fine ; 2A.35/2000 du 10 février 2000 consid. 2b/bb; 2A.450/1995 du 3 novembre 1995 consid. 3b).</w:t>
      </w:r>
    </w:p>
    <w:p>
      <w:r>
        <w:rPr>
          <w:b/>
        </w:rPr>
        <w:t>E. 8</w:t>
      </w:r>
    </w:p>
    <w:p>
      <w:r>
        <w:t>Il en découle qu'un petit dealer condamné une fois pour trafic d'une faible quantité de drogue dure peut parfaitement tomber sous le coup de l'art. 75 al. 1 let. g LEI,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(cf. ATF 109 IV 143 consid. 3b) à entraîner l'application de l'art. 19 al. 2 let. a LStup n'est pas pertinent, étant relevé que cette disposition pénale suppose une mise en danger de la santé de nombreuses personnes, alors que l'art. 75 al. 1 let. g LEI met l'accent sur la gravité de la mise en danger et non sur le nombre de personnes susceptibles d'être touchées (arrêt du Tribunal fédéral 2C_293/2012 du 18 avril 2012 consid. 4.3).</w:t>
      </w:r>
    </w:p>
    <w:p>
      <w:r>
        <w:rPr>
          <w:b/>
        </w:rPr>
        <w:t>E. 9</w:t>
      </w:r>
    </w:p>
    <w:p>
      <w:r>
        <w:t>Dans cette mesure, le Tribunal fédéral a jugé que la position de la chambre administrative de Cour de justice, qui se fondait sur sa jurisprudence selon laquelle le seul fait que l'intéressé ait été condamné pénalement pour trafic de cocaïne, soit une drogue "dure", justifiait l'application de l'art. 75 al. 1 let. g LEI, ne pouvait être suivie. Il ressortait des principes exposés ci-dessus qu'en présence d'un petit dealer n'ayant été condamné qu'une fois pour un trafic d'une faible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LEI (arrêt du Tribunal fédéral 2C_293/2012 du 18 avril 2012 consid. 4.5).</w:t>
      </w:r>
    </w:p>
    <w:p>
      <w:r>
        <w:rPr>
          <w:b/>
        </w:rPr>
        <w:t>E. 10</w:t>
      </w:r>
    </w:p>
    <w:p>
      <w:r>
        <w:t>En l'espèce, M. A______ a été condamné à trois reprises par le Ministère public du canton de Genève, les 24 juin, 9 juillet et 19 décembre 2024, pour infractions contre la LStup. Les dénégations exprimées lors de l’audience de ce jour par M. A______ ne peuvent être prises en considération par le tribunal, les deux premières de ses condamnations étant entrées en force. Quant à la condamnation prononcée le 19 décembre 2024, quand bien même elle n’est pas encore définitive, elle constitue à tout le moins un indice supplémentaire de l’activité délictuelle de M. A______ en Suisse, tournée vers le trafic de stupéfiants. Dans ces conditions, même si les quantités de drogue en cause ne sont à chaque fois pas forcément très importantes, il apparaît que M. A______ présente un risque important de poursuite de ses activités de trafiquant et donc une menace sérieuse pour la vie ou l’intégrité corporelle d’autres personnes, au sens des dispositions susmentionnées de la LEI. Il fait par ailleurs l’objet d’une décision de renvoi de Suisse prononcée à son encontre le 12 décembre 2024. Ainsi, les conditions de sa détention administrative sont réalisées sur le principe.</w:t>
      </w:r>
    </w:p>
    <w:p>
      <w:r>
        <w:rPr>
          <w:b/>
        </w:rPr>
        <w:t>E. 11</w:t>
      </w:r>
    </w:p>
    <w:p>
      <w:r>
        <w:t>Selon le texte de l'art. 76 al. 1 LEI, l'autorité "peut" prononcer la détention administrative lorsque les conditions légales sont réunies. L'utilisation de la forme</w:t>
      </w:r>
    </w:p>
    <w:p>
      <w:r>
        <w:t>- 8/10 - A/4217/2024 potestative signifie qu'elle n'en a pas l'obligation et que, dans la marge d'appréciation dont elle dispose dans l'application de la loi, elle se doit d'examiner la proportionnalité de la mesure qu'elle envisage de prendre.</w:t>
      </w:r>
    </w:p>
    <w:p>
      <w:r>
        <w:rPr>
          <w:b/>
        </w:rPr>
        <w:t>E. 12</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13</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14</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15</w:t>
      </w:r>
    </w:p>
    <w:p>
      <w:r>
        <w:t>En l’occurrence, M. A______ démontre par son comportement qu’il n’accorde pas d’importance particulière au respect de l’ordre juridique suisse. Par conséquent, on a de la peine à retenir que s’il était remis en liberté, il se soumettrait patiemment au fait d’attendre la date de sa réadmission le 13 janvier 2025, sans chercher à disparaître dans la clandestinité. Sa proposition de rentrer par ses propres moyens en Italie dès le lendemain de sa mise en liberté n’est pas conforme aux procédures convenues entre la Suisse et l’Italie en cas de réadmission d’un ressortissant tiers. Dans ces conditions, sa détention administrative apparaît comme le seul moyen de garantir l’exécution de son renvoi. Vu le comportement de M. A______ en Suisse, il existe un intérêt public prépondérant à son renvoi, qui légitime la privation de liberté dont il fait l’objet pour une durée limitée. Les autorités compétentes en Suisse ont agi avec célérité, ce que l’intéressé ne conteste pas. Quant à la durée de sa détention, elle peut paraître un peu disproportionnée à priori, eu égard au fait qu’un retour en Italie est d’ores et déjà prévu pour le 13 janvier 2025. Cependant, il faut garder à l’esprit que si ce retour a lieu à cette date, la durée restante de la détention deviendra sans objet et que si au contraire le renvoi ne peut</w:t>
      </w:r>
    </w:p>
    <w:p>
      <w:r>
        <w:t>- 9/10 - A/4217/2024 pas être effectué à ce moment-là, les autorités suisses compétentes ne disposeront d’ores et déjà plus que d’un peu plus d’un mois pour réorganiser un nouveau transfert, ce qui ne représente pas une durée très longue.</w:t>
      </w:r>
    </w:p>
    <w:p>
      <w:r>
        <w:rPr>
          <w:b/>
        </w:rPr>
        <w:t>E. 16</w:t>
      </w:r>
    </w:p>
    <w:p>
      <w:r>
        <w:t>Au vu de ce qui précède, il y a lieu de confirmer l'ordre de mise en détention administrative de M. A______ pour une durée de deux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A/4217/2024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