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JTAPI/1292/2024 vom 20. Dezember 2024</w:t>
      </w:r>
    </w:p>
    <w:p>
      <w:r>
        <w:t>GE Cour de justice, 2024-12-20, FR</w:t>
      </w:r>
    </w:p>
    <w:p>
      <w:r>
        <w:rPr>
          <w:b/>
        </w:rPr>
        <w:t xml:space="preserve">Quelle: </w:t>
      </w:r>
      <w:r>
        <w:t>https://mcp.opencaselaw.ch/entscheid/ge_gerichte_JTAPI_1292_2024</w:t>
      </w:r>
    </w:p>
    <w:p>
      <w:r>
        <w:t>FR: GE_GERICHTE JTAPI/1292/2024 du 20 décembre 2024</w:t>
      </w:r>
    </w:p>
    <w:p>
      <w:r>
        <w:t>IT: GE_GERICHTE JTAPI/1292/2024 del 20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18 décembre 2024 à 16h00.</w:t>
      </w:r>
    </w:p>
    <w:p>
      <w:r>
        <w:rPr>
          <w:b/>
        </w:rPr>
        <w:t>E. 3</w:t>
      </w:r>
    </w:p>
    <w:p>
      <w:r>
        <w:t>A teneur de l'art. 76 al. 1 let. b ch. 1 LEI, en lien avec l'art. 75 al. 1 LEI, lorsqu'une décision de renvoi de première instance ou une expulsion pénale au sens des art. 66a ou 66abis CP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w:t>
      </w:r>
    </w:p>
    <w:p>
      <w:r>
        <w:rPr>
          <w:b/>
        </w:rPr>
        <w:t>E. 3.1</w:t>
      </w:r>
    </w:p>
    <w:p>
      <w:r>
        <w:t>; 2C_756/2009 du 15 décembre 2009 consid. 2.1).</w:t>
      </w:r>
    </w:p>
    <w:p>
      <w:r>
        <w:rPr>
          <w:b/>
        </w:rPr>
        <w:t>E. 4</w:t>
      </w:r>
    </w:p>
    <w:p>
      <w:r>
        <w:t>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5</w:t>
      </w:r>
    </w:p>
    <w:p>
      <w:r>
        <w:t>Il découle de la jurisprudence qu'une décision d'expulsion pénale au sens des art. 66a ou 66abis CP vaut comme interdiction d'entrée pour la durée prononcée par le juge pénal (ATA/179/2018 du 27 février 2018 consid. 4).</w:t>
      </w:r>
    </w:p>
    <w:p>
      <w:r>
        <w:rPr>
          <w:b/>
        </w:rPr>
        <w:t>E. 6</w:t>
      </w:r>
    </w:p>
    <w:p>
      <w:r>
        <w:t>En l'espèce, M. A______ fait l'objet d'une mesure d'expulsion pénale prononcée par la CPAR le 15 août 2022 et valable pour une durée de cinq ans. Il est par ailleurs revenu en Suisse, depuis la France, alors qu'il était à la fois sous le coup d'une interdiction d'entrée en Suisse prononcée le 25 septembre 2018 et valable jusqu'au 24 septembre 2025, et de l'expulsion pénale susmentionnée. Par conséquent, sur le principe, les conditions d'une détention au sens des dispositions légales susmentionnées sont réalisées. À titre superfétatoire, le tribunal constatera que ces conditions légales sont également réalisées, au sens de ces dispositions, dans la mesure où le précité a été condamné pour vol, infraction constitutive de crime, par arrêt de la CPAR du 15 août 2022.</w:t>
      </w:r>
    </w:p>
    <w:p>
      <w:r>
        <w:rPr>
          <w:b/>
        </w:rPr>
        <w:t>E. 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- 5/7 - A/4207/2024</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l'occurrence, dans la mesure où M. A______ n'a visiblement eu aucun égard pour les deux décisions qui l'empêchaient cumulativement de revenir en Suisse, il n'y a pas lieu d'attendre de sa part qu'il se soumette à l'expulsion judiciaire dont il fait l'objet, sans chercher à disparaître dans la clandestinité. Par conséquent, la détention administrative apparaît comme le seul moyen apte à assurer l'exécution de cette expulsion. S’agissant de ses problèmes de santé, il n’appartient pas au tribunal d’examiner s’ils sont susceptibles de remettre en cause l’exigibilité de son renvoi, étant relevé que pour l’heure, aucun élément ne l’indique. En particulier, le fait qu’il suive un traitement médical, vraisemblablement sous la forme d’antibiotiques, ne constitue pas à priori un empêchement de retourner dans son pays d’origine, cas échéant muni d’une réserve de médicaments devant lui permettre de poursuivre le traitement en cours. Quant à la perspective d’une intervention chirurgicale, il ne s’agit, à ce stade, que d’une simple hypothèse, outre le fait que l’on ne saurait à priori partir de l’idée que cette intervention ne pourrait pas être pratiquée au Maroc. Il existe par ailleurs un intérêt public important à pouvoir procéder à l’expulsion judiciaire de M. A______, compte tenu de la menace qu’il représente pour l’ordre et la sécurité publics. Les autorités chargées de cette expulsion n’ont pas tardé dans les démarches que cela supposait et ont ainsi respecté leur devoir de célérité.</w:t>
      </w:r>
    </w:p>
    <w:p>
      <w:r>
        <w:t>- 6/7 - A/4207/2024 Enfin, quant à la durée de la détention, fixée à trois mois, elle n’apparaît pas à priori disproportionnée, compte tenu des délais exigés par les différentes étapes du retour au Maroc, dont en particulier le délai pour la délivrance d’un laissez-passer, puis le délai minimum de six semaines qui doit séparer la date de délivrance de ce document et la date d’un vol à destination du Maroc, conformément aux accords conclus entre ce pays et la Suisse.</w:t>
      </w:r>
    </w:p>
    <w:p>
      <w:r>
        <w:rPr>
          <w:b/>
        </w:rPr>
        <w:t>E. 12</w:t>
      </w:r>
    </w:p>
    <w:p>
      <w:r>
        <w:t>Au vu de ce qui précède, il y a lieu de confirmer l'ordre de mise en détention administrative de M. A______ pour une durée de trois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A/4207/2024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