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JTAPI/128/2025 vom 3. Februar 2025</w:t>
      </w:r>
    </w:p>
    <w:p>
      <w:r>
        <w:t>GE Cour de justice, 2025-02-03, FR</w:t>
      </w:r>
    </w:p>
    <w:p>
      <w:r>
        <w:rPr>
          <w:b/>
        </w:rPr>
        <w:t xml:space="preserve">Quelle: </w:t>
      </w:r>
      <w:r>
        <w:t>https://mcp.opencaselaw.ch/entscheid/ge_gerichte_JTAPI_128_2025</w:t>
      </w:r>
    </w:p>
    <w:p>
      <w:r>
        <w:t>FR: GE_GERICHTE JTAPI/128/2025 du 3 février 2025</w:t>
      </w:r>
    </w:p>
    <w:p>
      <w:r>
        <w:t>IT: GE_GERICHTE JTAPI/128/2025 del 3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Selon l’art. 67 al. 1 de la loi sur la procédure administrative du 12 septembre 1985 (LPA - E 5 10), applicable par renvoi de l’art.2 al. 2 LPFisc, dès le dépôt du recours, le pouvoir de traiter l’affaire qui en est l’objet passe à l’autorité de recours.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rPr>
          <w:b/>
        </w:rPr>
        <w:t>E. 4</w:t>
      </w:r>
    </w:p>
    <w:p>
      <w:r>
        <w:t>En l’espèce, dans ses déterminations du 4 décembre 2024, le recourant a admis que son grief était infondé, la créance en liquidation du régime matrimonial ayant été prise en compte. Le recours devient dès lors sans objet sur ce point. En revanche, il requiert que les honoraires du curateur du défunt soient ajoutés au passif de la succession. L’AFC-GE l’admet et s’est engagée à ajouter le montant de CHF 20’000.- audit passif, relevant que le montant de CHF 9’090.- avait déjà été pris en compte. Le tribunal lui en donnera acte, de sorte que le recours devient dès lors également sans objet sur ce point.</w:t>
      </w:r>
    </w:p>
    <w:p>
      <w:r>
        <w:rPr>
          <w:b/>
        </w:rPr>
        <w:t>E. 5</w:t>
      </w:r>
    </w:p>
    <w:p>
      <w:r>
        <w:t>Vu l’issue de la procédure, aucun émolument ne sera mis à la charge du recourant (art. 52 al. 1 LPFisc, 87 al. 1 LPA et 1 et 2 du règlement sur les frais, émoluments et indemnités en procédure administrative du 30 juillet 1986 (RFPA - E 5 10.03). L’avance de frais de CHF 700.- lui sera restituée. Au surplus, aucune indemnité de procédure ne sera allouée (art. 87 al. 2 LPA).</w:t>
      </w:r>
    </w:p>
    <w:p>
      <w:r>
        <w:t>- 4/4 - A/1699/2024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