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JTAPI/1273/2024 vom 19. Dezember 2024</w:t>
      </w:r>
    </w:p>
    <w:p>
      <w:r>
        <w:t>GE Cour de justice, 2024-12-19, FR</w:t>
      </w:r>
    </w:p>
    <w:p>
      <w:r>
        <w:rPr>
          <w:b/>
        </w:rPr>
        <w:t xml:space="preserve">Quelle: </w:t>
      </w:r>
      <w:r>
        <w:t>https://mcp.opencaselaw.ch/entscheid/ge_gerichte_JTAPI_1273_2024</w:t>
      </w:r>
    </w:p>
    <w:p>
      <w:r>
        <w:t>FR: GE_GERICHTE JTAPI/1273/2024 du 19 décembre 2024</w:t>
      </w:r>
    </w:p>
    <w:p>
      <w:r>
        <w:t>IT: GE_GERICHTE JTAPI/1273/2024 del 19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w:t>
      </w:r>
    </w:p>
    <w:p>
      <w:r>
        <w:t>- 7/10 - A/4167/2024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 tribunal constate que les déclarations des parties sont passablement contradictoires, notamment sur les altercations qui ont pu se produire avant l'évènement du 14 décembre dernier. Il ressort néanmoins clairement de celles-ci que la situation est conflictuelle et qu'elle s'est dégradée depuis plusieurs années, à telle point que les époux ont tous les deux confirmé vouloir divorcer – les époux ayant, chacun de leur côté, consulté un avocat, en vue d'entamer les démarches du divorce. S'agissant des faits du 14 décembre 2024, les parties admettent qu'elles ont eu une altercation au domicile conjugal mais le déroulement des évènements ne peut être déterminé avec précision, les époux divergeant sur celui-ci. Ils s'accordent cependant sur le fait qu'aucun coup n'a été échangé et qu'aucune violence n'a jamais été exercée sur leurs enfants. En tout état, les faits décrits par les parties correspondent sans conteste à la notion de violence domestique au sens défini plus haut. La question n'est pas de savoir lequel des intéressés est plus responsable que l'autre de la situation, ce qui bien souvent impossible à établir. L'essentiel est de séparer</w:t>
      </w:r>
    </w:p>
    <w:p>
      <w:r>
        <w:t>- 8/10 - A/4167/2024 les époux en étant à peu près certain que celui qui fait l'objet, comme en l'espèce, d'une interdiction de contact est lui aussi l'auteur de violences, ce qui est le cas en l'espèce. Dans ces circonstances, vu en particulier le caractère récent des événements, la situation visiblement conflictuelle et complexe dans laquelle les parties se trouvent, leur volonté clairement exprimée de ne pas poursuivre la vie commune, et la requête en mesures superprovisionnelles déposée par Mme B______, selon les indications de son conseil le 17 décembre dernier, la perspective qu'ils soient à nouveau immédiatement en contact, quand bien même il est évident qu'une mesure d'éloignement administratif ne permettra pas, à elle seule, de régler la situation, apparaît inopportune. La mesure d'éloignement se révèle donc comme justifiée au moment de son prononcé, le 15 décembre 2024. Cependant, le tribunal constate que Mme B______ et les deux enfants du couple seront en vacances en Chine du 19 décembre 2024 au 3 janvier 2025, période pendant laquelle les époux seront de facto éloignés l'un de l'autre et que M. A______ a trouvé un logement provisoire dans lequel il souhaite emménager au plus vite.</w:t>
      </w:r>
    </w:p>
    <w:p>
      <w:r>
        <w:rPr>
          <w:b/>
        </w:rPr>
        <w:t>E. 6</w:t>
      </w:r>
    </w:p>
    <w:p>
      <w:r>
        <w:t>Au vu de ce qui précède et de la situation particulière vu l'absence de Genève de Mme B______ dès le 19 décembre 2024, l'opposition sera partiellement admise, en ce sens que la mesure d'éloignement sera confirmée dans son principe mais réduite à la durée la plus courte que la loi permet qui est de dix jours, soit jusqu'au 25 décembre 2024 à 4h30.</w:t>
      </w:r>
    </w:p>
    <w:p>
      <w:r>
        <w:rPr>
          <w:b/>
        </w:rPr>
        <w:t>E. 7</w:t>
      </w:r>
    </w:p>
    <w:p>
      <w:r>
        <w:t>Concernant la demande de prolongation, Mme B______ a répété lors de l'audience qu'elle craignait de nouvelles violences de la part de son mari s'il revenait au domicile conjugal et qu'elle avait peur de lui. Comme indiqué ci-avant, elle a confirmé qu'elle ne voulait pas reprendre la vie commune et qu'elle souhaitait que son mari quitte le domicile conjugal. M. A______ a également indiqué vouloir se séparer. Dès lors, étant donné que chacun des époux se dit prêt à vivre de manière séparée, que Mme B______ sera absente jusqu'au 3 janvier 2025, que M. A______ a respecté la mesure - l'envoi de messages auxquels Mme B______ a pour certains répondu devant toutefois être relevé - et qu’il appartient maintenant aux deux conjoints d’organiser leur nouvelle vie, notamment concernant la prise en charge de leurs enfants, le tribunal ne peut retenir un risque concret de réitérations des violences qui justifierait une prolongation de la mesure. Par conséquent, la demande de prolongation sera rejetée.</w:t>
      </w:r>
    </w:p>
    <w:p>
      <w:r>
        <w:rPr>
          <w:b/>
        </w:rPr>
        <w:t>E. 8</w:t>
      </w:r>
    </w:p>
    <w:p>
      <w:r>
        <w:t>Vu l'absence de Genève de Mme B______ dès le 19 décembre 2024, le tribunal laisse le soin aux avocats des parties, comme proposé en audience par le conseil de Mme B______ de faire en sorte que M. A______ puisse être en possession des clés du domicile conjugal au moment où il sera autorisé à y retourner.</w:t>
      </w:r>
    </w:p>
    <w:p>
      <w:r>
        <w:rPr>
          <w:b/>
        </w:rPr>
        <w:t>E. 9</w:t>
      </w:r>
    </w:p>
    <w:p>
      <w:r>
        <w:t>Il ne sera pas perçu d'émolument (art. 87 al. 1 LPA).</w:t>
      </w:r>
    </w:p>
    <w:p>
      <w:r>
        <w:t>- 9/10 - A/4167/2024</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- 10/10 - A/4167/2024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