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JTAPI/1272/2023 vom 9. März 2022</w:t>
      </w:r>
    </w:p>
    <w:p>
      <w:r>
        <w:t>GE Cour de justice, 2022-03-09, FR</w:t>
      </w:r>
    </w:p>
    <w:p>
      <w:r>
        <w:rPr>
          <w:b/>
        </w:rPr>
        <w:t xml:space="preserve">Quelle: </w:t>
      </w:r>
      <w:r>
        <w:t>https://mcp.opencaselaw.ch/entscheid/ge_gerichte_JTAPI_1272_2023</w:t>
      </w:r>
    </w:p>
    <w:p>
      <w:r>
        <w:t>FR: GE_GERICHTE JTAPI/1272/2023 du 9 mars 2022</w:t>
      </w:r>
    </w:p>
    <w:p>
      <w:r>
        <w:t>IT: GE_GERICHTE JTAPI/1272/2023 del 9 marzo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A titre préliminaire, le tribunal retiendra que la décision du 26 juin 2023 de l'OCV n'a pas rendu le recours de M. A______ sans objet. Il y a donc lieu de le traiter dans la même cause.</w:t>
      </w:r>
    </w:p>
    <w:p>
      <w:r>
        <w:t>- 4/8 - A/1048/2022 4. 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w:t>
      </w:r>
    </w:p>
    <w:p>
      <w:r>
        <w:rPr>
          <w:b/>
        </w:rPr>
        <w:t>E. 5</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6</w:t>
      </w:r>
    </w:p>
    <w:p>
      <w:r>
        <w:t>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 du Tribunal fédéral 1C_245/2010 du 13 juillet 2010 consid. 2.1 ; ATA/172/2012 du 27 mars 2012 ; ATA/363/2011 du 7 juin 2011).</w:t>
      </w:r>
    </w:p>
    <w:p>
      <w:r>
        <w:rPr>
          <w:b/>
        </w:rPr>
        <w:t>E. 7</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 du Tribunal fédéral 1C_245/2010 du 13 juillet 2010 consid. 2.1 ; ATA/172/2012 du 27 mars 2012 ; ATA/363/2011 du 7 juin 2011).</w:t>
      </w:r>
    </w:p>
    <w:p>
      <w:r>
        <w:rPr>
          <w:b/>
        </w:rPr>
        <w:t>E. 8</w:t>
      </w:r>
    </w:p>
    <w:p>
      <w:r>
        <w:t>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w:t>
      </w:r>
    </w:p>
    <w:p>
      <w:r>
        <w:t>- 5/8 - A/1048/2022 ATA/363/2011 du 7 juin 2011). Dans cette mesure, lorsque la qualification juridique d'un acte ou la culpabilité est douteuse, il convient de statuer sur le retrait du permis de conduire après seulement que la procédure pénale soit achevée par un jugement entré en force (ATA/172/2012 du 27 mars 2012).</w:t>
      </w:r>
    </w:p>
    <w:p>
      <w:r>
        <w:rPr>
          <w:b/>
        </w:rPr>
        <w:t>E. 9</w:t>
      </w:r>
    </w:p>
    <w:p>
      <w:r>
        <w:t>Ce principe s'applique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par exemple si la décision pénale se fonde uniquement sur le rapport de police (arrêt du Tribunal fédéral 1C_245/2010 du 13 juillet 2010 consid. 2.1 ; ATA/172/2012 du 27 mars 2012 ; ATA/363/2011 du 7 juin 2011).</w:t>
      </w:r>
    </w:p>
    <w:p>
      <w:r>
        <w:rPr>
          <w:b/>
        </w:rPr>
        <w:t>E. 10</w:t>
      </w:r>
    </w:p>
    <w:p>
      <w:r>
        <w:t>En l’espèce, à teneur du dossier et en l’absence de faits nouveaux, le tribunal est lié par les constatations de l’autorité pénale, de sorte qu'il sera retenu que le recourant n'a pas observé une distance suffisante et n'est pas resté maître de son véhicule en ne pouvant éviter le véhicule de Mme B______, le 11 octobre 2021, à 17h25, sur l'autoroute A9, dans le district de l'Ouest lausannois, en direction de l'échangeur de Villars-Sainte-Croix, au volant de son véhicule GE 1______.</w:t>
      </w:r>
    </w:p>
    <w:p>
      <w:r>
        <w:rPr>
          <w:b/>
        </w:rPr>
        <w:t>E. 11</w:t>
      </w:r>
    </w:p>
    <w:p>
      <w:r>
        <w:t>Afin de déterminer s’il y a lieu de prononcer un retrait d’admonestation et, le cas échéant, sa durée, la LCR distingue les infractions légères, moyennement graves et graves (art. 16a à 16c LCR).</w:t>
      </w:r>
    </w:p>
    <w:p>
      <w:r>
        <w:rPr>
          <w:b/>
        </w:rPr>
        <w:t>E. 12</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w:t>
      </w:r>
    </w:p>
    <w:p>
      <w:r>
        <w:rPr>
          <w:b/>
        </w:rPr>
        <w:t>E. 13</w:t>
      </w:r>
    </w:p>
    <w:p>
      <w:r>
        <w:t>La définition d'une infraction moyennement grave découle du fait qu'elle ne peut être considérée ni comme légère au sens de l'art. 16a al. 1 let. a LCR, ni comme grave au sens de l'art. 16c al. 1 let. a LCR. Dès lors, l'infraction est considérée comme moyennement grave lorsque les éléments constitutifs qui permettent de la qualifier de légère ou au contraire de la qualifier de grave ne sont pas tous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Ainsi, par rapport à une infraction légère, où tant la mise en danger que la faute doivent être légères, on parle d'infraction moyennement grave dès que la mise en danger ou la faute n'est pas légère (arrêts</w:t>
      </w:r>
    </w:p>
    <w:p>
      <w:r>
        <w:t>- 6/8 - A/1048/2022 du Tribunal fédéral 1C_436/2019 du 30 septembre 2019 consid. 2.1 ; 1C_144/2018 du 10 décembre 2018 consid. 2.1 ; 1C_202/2018 du 18 septembre 2018 consid. 3.).</w:t>
      </w:r>
    </w:p>
    <w:p>
      <w:r>
        <w:rPr>
          <w:b/>
        </w:rPr>
        <w:t>E. 14</w:t>
      </w:r>
    </w:p>
    <w:p>
      <w:r>
        <w:t>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 Tribunal fédéral 1C_436/2019 du 30 septembre 2019 consid. 2.1 ; 6B_23/2016 du 9 décembre 2016 consid. 3.2).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w:t>
      </w:r>
    </w:p>
    <w:p>
      <w:r>
        <w:rPr>
          <w:b/>
        </w:rPr>
        <w:t>E. 15</w:t>
      </w:r>
    </w:p>
    <w:p>
      <w:r>
        <w:t>Dans le cas d'espèce, le recourant n'a pas respecté les distances de sécurité, alors qu'il circulait sur une autoroute où par nature, les véhicules roulent à grande vitesse. Ce faisant et par inattention, il a été impliqué dans une collision avec une automobiliste. De tels manquements au devoir de prudence ne peuvent être réduits à une simple négligence du recourant mais sont constitutifs d'une faute et d'une mise en danger non seulement concrète à l'égard de Mme B______ mais également abstraite à l'égard des autres usagers de la route. Elle ne peut en aucun cas être qualifiée de bénigne au vu des circonstances du cas d'espèce.</w:t>
      </w:r>
    </w:p>
    <w:p>
      <w:r>
        <w:rPr>
          <w:b/>
        </w:rPr>
        <w:t>E. 16</w:t>
      </w:r>
    </w:p>
    <w:p>
      <w:r>
        <w:t>Dans ces conditions, c'est à bon droit que l'autorité intimée a retenu une faute de gravité moyenne, au sens de l'art. 16b al. 1 let. a LCR.</w:t>
      </w:r>
    </w:p>
    <w:p>
      <w:r>
        <w:rPr>
          <w:b/>
        </w:rPr>
        <w:t>E. 17</w:t>
      </w:r>
    </w:p>
    <w:p>
      <w:r>
        <w:t>Après une infraction moyennement grave, le permis d'élève conducteur ou le permis de conduire est retiré pour un mois au minimum (art. 16b al. 2 let. a LCR).</w:t>
      </w:r>
    </w:p>
    <w:p>
      <w:r>
        <w:rPr>
          <w:b/>
        </w:rPr>
        <w:t>E. 18</w:t>
      </w:r>
    </w:p>
    <w:p>
      <w:r>
        <w:t>Si des circonstances telles que la gravité de la faute, les antécédents ou la nécessité professionnelle de conduire un véhicule automobile doivent être prises en compte pour fixer la durée du retrait, la durée minimale prévue par la loi ne peut pas être réduite à teneur de l'art. 16 al. 3 LCR. La règle contenue dans cette disposition, qui rend désormais incompressibles les durées minimales de retrait des permis de conduire, a été introduite dans la loi par souci d'uniformité. Le législateur a ainsi entendu exclure expressément la possibilité ouverte par la jurisprudence rendue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 ATF 132 II 234, consid. 2.3.).</w:t>
      </w:r>
    </w:p>
    <w:p>
      <w:r>
        <w:t>- 7/8 - A/1048/2022</w:t>
      </w:r>
    </w:p>
    <w:p>
      <w:r>
        <w:t>En d'autres termes, les besoins professionnels ne permettent de moduler la sanction que lorsqu'en fonction des circonstances, l'autorité envisage de prononcer un retrait du permis de conduire d'une durée supérieure au minimum légal. En revanche, tant que la durée du retrait ne s'écarte pas de ce minimum, les besoins professionnels ne peuvent avoir pour effet de réduire davantage la sanction (ATF 132 II 234, consid. 2.3).</w:t>
      </w:r>
    </w:p>
    <w:p>
      <w:r>
        <w:rPr>
          <w:b/>
        </w:rPr>
        <w:t>E. 19</w:t>
      </w:r>
    </w:p>
    <w:p>
      <w:r>
        <w:t>En l’espèce, l’infraction doit être qualifiée de moyennement grave au sens de l’art. 16b al. 1 let. a LCR. C’est ainsi à juste titre que le recourant a fait l’objet d’un retrait de permis d’une durée d’un mois en application de l’art. 16b al. 2 let. a LCR, dans la mesure où l’OCV n’entendait pas s’écarter du minimum légal prévu par cette disposition.</w:t>
      </w:r>
    </w:p>
    <w:p>
      <w:r>
        <w:rPr>
          <w:b/>
        </w:rPr>
        <w:t>E. 20</w:t>
      </w:r>
    </w:p>
    <w:p>
      <w:r>
        <w:t>Devant impérativement se tenir à une telle mesure, l’OCV, qui ne pouvait en aucune manière prendre en considération ni les circonstances du cas d’espèce ni les besoins professionnels allégués par le recourant, a donc correctement appliqué les règles en vigueur et n’a pas excédé ou abusé de son pouvoir d’appréciation.</w:t>
      </w:r>
    </w:p>
    <w:p>
      <w:r>
        <w:rPr>
          <w:b/>
        </w:rPr>
        <w:t>E. 21</w:t>
      </w:r>
    </w:p>
    <w:p>
      <w:r>
        <w:t>Il s’ensuit que la décision de l’OCV doit être confirmée et le recours rejeté.</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23</w:t>
      </w:r>
    </w:p>
    <w:p>
      <w:r>
        <w:t>Vu l’issue du litige, aucune indemnité de procédure ne sera allouée (art. 87 al. 2 LPA).</w:t>
      </w:r>
    </w:p>
    <w:p>
      <w:r>
        <w:t>- 8/8 - A/1048/2022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