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JTAPI/126/2025 vom 3. Februar 2025</w:t>
      </w:r>
    </w:p>
    <w:p>
      <w:r>
        <w:t>GE Cour de justice, 2025-02-03, FR</w:t>
      </w:r>
    </w:p>
    <w:p>
      <w:r>
        <w:rPr>
          <w:b/>
        </w:rPr>
        <w:t xml:space="preserve">Quelle: </w:t>
      </w:r>
      <w:r>
        <w:t>https://mcp.opencaselaw.ch/entscheid/ge_gerichte_JTAPI_126_2025</w:t>
      </w:r>
    </w:p>
    <w:p>
      <w:r>
        <w:t>FR: GE_GERICHTE JTAPI/126/2025 du 3 février 2025</w:t>
      </w:r>
    </w:p>
    <w:p>
      <w:r>
        <w:t>IT: GE_GERICHTE JTAPI/126/2025 del 3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2.2</w:t>
      </w:r>
    </w:p>
    <w:p>
      <w:r>
        <w:t>; 2C_930/2018 du 25 octobre 2018 consid. 3). Ainsi, l’objet du présent litige se limite à la question de savoir si c’est à bon droit que l’AFC-GE a déclaré irrecevable la réclamation de la recourante du 24 juin 2024, en raison de sa tardiveté. Il en résulte que tous les griefs relatifs au bien-fondé de la taxation à la source concernée sont irrecevables.</w:t>
      </w:r>
    </w:p>
    <w:p>
      <w:r>
        <w:rPr>
          <w:b/>
        </w:rPr>
        <w:t>E. 3</w:t>
      </w:r>
    </w:p>
    <w:p>
      <w:r>
        <w:t>Sans contester la tardiveté de sa réclamation du 24 juin 2024, qu’elle admet au contraire implicitement, la recourante demande néanmoins que sa taxation à la source 2021 soit examinée au fond, en se prévalant de motifs qui justifieraient, selon elle, une restitution des délais légaux.</w:t>
      </w:r>
    </w:p>
    <w:p>
      <w:r>
        <w:rPr>
          <w:b/>
        </w:rPr>
        <w:t>E. 4</w:t>
      </w:r>
    </w:p>
    <w:p>
      <w:r>
        <w:t>Préalablement, ainsi que relevé à juste titre par l’AFC-GE, il convient de rappeler qu’en matière de décision d’irrecevabilité, seule la question de l’irrecevabilité peut faire l’objet du recours et non pas la taxation en tant que telle. Dans un tel cas,</w:t>
      </w:r>
    </w:p>
    <w:p>
      <w:r>
        <w:t>- 4/8 - A/2559/2024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arrêts du Tribunal fédéral 2C_227/2021 du 16 avril 2021 consid.</w:t>
      </w:r>
    </w:p>
    <w:p>
      <w:r>
        <w:rPr>
          <w:b/>
        </w:rPr>
        <w:t>E. 5</w:t>
      </w:r>
    </w:p>
    <w:p>
      <w:r>
        <w:t>En droit fédéral, l’impôt à la source est régi dans la LIFD et la loi fédérale sur l’harmonisation des impôts directs des cantons et des communes du 14 décembre 1990 (LHID - RS 642), qui sont applicables en l’espèce dans leur teneur en vigueur en 2021 (arrêts du Tribunal fédéral 9C_689/2022 du 12 avril 2023 consid. 4.1 ; 2C_ 60/2020 du 27 avril 2021 consid. 3 et 4). Au niveau cantonal, c’est la loi sur l’imposition à la source des personnes physiques et morales du 16 janvier 2020 (LISP - D 3 20), entrée en vigueur le 1er janvier 2021, et la LPFisc qui sont applicables. L’art. 17 al. 1 LISP précise en particulier que c’est la LPFisc qui dispose des règles de procédure pour son application.</w:t>
      </w:r>
    </w:p>
    <w:p>
      <w:r>
        <w:rPr>
          <w:b/>
        </w:rPr>
        <w:t>E. 6</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w:t>
      </w:r>
    </w:p>
    <w:p>
      <w:r>
        <w:rPr>
          <w:b/>
        </w:rPr>
        <w:t>E. 7</w:t>
      </w:r>
    </w:p>
    <w:p>
      <w:r>
        <w:t>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 dances ultérieur ou le comportement du destinataire (ATF 142 IV 125 consid. 4.3). Selon la jurisprudence, en cas d’envoi de décisions sous pli simple, on admet que la décision entreprise a été réceptionnée quelques jours après son expédition (ATA/1373/2018 du 18 décembre 2018 consid. 7c et les références citées). Il appartient à l’administré qui réclame ou qui recourt d’établir qu’il l’a fait dans le respect du délai légal (ATA/899/2015 du 1er septembre 2015 ; ATA/243/2015 du 3</w:t>
      </w:r>
    </w:p>
    <w:p>
      <w:r>
        <w:t>- 5/8 - A/2559/2024 mars 2015; cf. aussi Pierre MOOR/Etienne POLTIER, Droit administratif, vol. II, 3ème éd., 2011, n° 2.2.6.7 p. 304).</w:t>
      </w:r>
    </w:p>
    <w:p>
      <w:r>
        <w:rPr>
          <w:b/>
        </w:rPr>
        <w:t>E. 8</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Un délai inobservé est restitué si la personne contribuable exécute l’acte omis dans les trente jours qui suivent la disparition de l’empêchement et prouve qu’elle a été empêchée d’agir en temps utile pour des motifs sérieux (art. 21 al. 3 LPFisc).</w:t>
      </w:r>
    </w:p>
    <w:p>
      <w:r>
        <w:rPr>
          <w:b/>
        </w:rPr>
        <w:t>E. 9</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(ATA/1297/2024 du 5 novembre 2024 consid. 2.4).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 ATF 142 V 152 consid. 4.2 ; arrêt du Tribunal fédéral 6B_811/2022 du 15 septembre 2022 consid. 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(ATA/461/2018 du 8 mai 2018 ; ATA/328/2018 du 10 avril 2018).</w:t>
      </w:r>
    </w:p>
    <w:p>
      <w:r>
        <w:rPr>
          <w:b/>
        </w:rPr>
        <w:t>E. 10</w:t>
      </w:r>
    </w:p>
    <w:p>
      <w:r>
        <w:t>En l’occurrence, aucun élément ne permet de connaître la date de la notification du bordereau du 15 avril 2024, qui a été envoyé à la recourante par pli simple dans l’hypothèse où elle n’a pas choisi d’abandonner le courrier papier et donc de ne pas utiliser exclusivement e-démarches. Cette dernière n’indiquant dans aucune de ses écritures à quelle date elle a reçu ce bordereau, ni ne contestant qu’il lui a été communiqué, il convient de retenir qu’il lui a été notifié dans les quelques jours qui</w:t>
      </w:r>
    </w:p>
    <w:p>
      <w:r>
        <w:t>- 6/8 - A/2559/2024 ont suivi la date du 15 avril 2024. Cette fiction de notification vaut aussi dans l’hypothèse où la recourante aurait choisi d’abandonner le courrier papier, puisque le bordereau aurait alors été mis à sa disposition dans son compte e-démarches et qu’elle en aurait été informée par courriel et/ou SMS. Or, elle n’a réclamé qu’en juin 2024, soit largement hors du délai légal de trente jours. Au demeurant, la contribuable admet implicitement qu’elle a élevé réclamation en dehors du délai légal, ce qui lui est opposable (arrêt du Tribunal fédéral 2C_637/ 2007 du 4 avril 2008 consid. 2.3 et 2.4.1). Pour le surplus, la recourante ne démontre pas l’existence d’un motif sérieux, au sens des art. 133 al. 3 LIFD et 41 al. 3 LPFisc, ou la survenance d’un cas de force majeure, qui l’auraient concrètement empêché d’agir en temps utile. En effet, le fait que le site internet e-démarches de l’AFC-GE soit possiblement difficile à consulter n’implique nullement que le bordereau du 15 avril 2024 ne lui ait pas été notifié correctement. En tout état, la recourante a pu obtenir ce bordereau, preuve en est qu’elle a produit l’avis de taxation y relatif avec ses écritures. Au demeurant, il lui appartenait, si elle utilisait le site internet de l’AFC-GE, de s’assurer qu’elle en maîtrisait correctement l’usage pour y trouver les correspondances. Elle ne peut pas rejeter les conséquences résultant de son manque de savoir-faire sur l’AFC-GE. Enfin, il ne peut être admis que la « justice fiscale » prime sur le respect du délai de recours, à moins de vider de tout leur sens les règles sur les délais de recours. Le fait qu’un examen matériel d’une décision ne puisse avoir lieu en raison de l’irrecevabilité d’un recours ne justifie aucunement l’ouverture d’une nouvelle possibilité d’examen matériel par un tribunal (arrêt du Tribunal fédéral 9C_320/2024 du 9 décembre 2024 consid. 4.2). En conséquence, la réclamation du 15 avril 2024 a été déclarée irrecevable à juste titre par l’AFC-GE.</w:t>
      </w:r>
    </w:p>
    <w:p>
      <w:r>
        <w:rPr>
          <w:b/>
        </w:rPr>
        <w:t>E. 11</w:t>
      </w:r>
    </w:p>
    <w:p>
      <w:r>
        <w:t>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w:t>
      </w:r>
    </w:p>
    <w:p>
      <w:r>
        <w:t>- 7/8 - A/2559/2024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12</w:t>
      </w:r>
    </w:p>
    <w:p>
      <w:r>
        <w:t>En l’espèce, force est de constater, avec l’AFC-GE, que les conditions d’entrée en matière sur une révision de la taxation litigieuse ne sont manifestement pas remplies, dès lors que la recourante invoque des motifs de fond qu’elle aurait déjà pu faire valoir au cours de la procédure ordinaire de réclamation, si elle avait fait preuve de toute la diligence qui pouvait raisonnablement être exigée d’elle, ce qu’elle n’a pas fait. Elle ne peut dès lors pas le faire par le biais de la voie extraordinaire de révision, cette procédure étant réservée exclusivement aux cas où des éléments n’ont pas pu être invoqués dans le cadre de la procédure ordinaire.</w:t>
      </w:r>
    </w:p>
    <w:p>
      <w:r>
        <w:rPr>
          <w:b/>
        </w:rPr>
        <w:t>E. 13</w:t>
      </w:r>
    </w:p>
    <w:p>
      <w:r>
        <w:t>Ne reposant sur aucun motif valable,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w:t>
      </w:r>
    </w:p>
    <w:p>
      <w:r>
        <w:t>- 8/8 - A/2559/2024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