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JTAPI/1266/2024 vom 19. Dezember 2024</w:t>
      </w:r>
    </w:p>
    <w:p>
      <w:r>
        <w:t>GE Cour de justice, 2024-12-19, FR</w:t>
      </w:r>
    </w:p>
    <w:p>
      <w:r>
        <w:rPr>
          <w:b/>
        </w:rPr>
        <w:t xml:space="preserve">Quelle: </w:t>
      </w:r>
      <w:r>
        <w:t>https://mcp.opencaselaw.ch/entscheid/ge_gerichte_JTAPI_1266_2024</w:t>
      </w:r>
    </w:p>
    <w:p>
      <w:r>
        <w:t>FR: GE_GERICHTE JTAPI/1266/2024 du 19 décembre 2024</w:t>
      </w:r>
    </w:p>
    <w:p>
      <w:r>
        <w:t>IT: GE_GERICHTE JTAPI/1266/2024 del 19 dicembre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À titre préalable, la recourante sollicite l'audition des parties et celle de M. H______ afin de clarifier son rôle sur la chantier d'C______.</w:t>
      </w:r>
    </w:p>
    <w:p>
      <w:r>
        <w:rPr>
          <w:b/>
        </w:rPr>
        <w:t>E. 6</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w:t>
      </w:r>
    </w:p>
    <w:p>
      <w:r>
        <w:t>- 9/14 - A/134/2024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7</w:t>
      </w:r>
    </w:p>
    <w:p>
      <w:r>
        <w:t>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w:t>
      </w:r>
    </w:p>
    <w:p>
      <w:r>
        <w:rPr>
          <w:b/>
        </w:rPr>
        <w:t>E. 8</w:t>
      </w:r>
    </w:p>
    <w:p>
      <w:r>
        <w:t>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w:t>
      </w:r>
    </w:p>
    <w:p>
      <w:r>
        <w:rPr>
          <w:b/>
        </w:rPr>
        <w:t>E. 12</w:t>
      </w:r>
    </w:p>
    <w:p>
      <w:r>
        <w:t>Partant, ce grief sera écarté.</w:t>
      </w:r>
    </w:p>
    <w:p>
      <w:r>
        <w:rPr>
          <w:b/>
        </w:rPr>
        <w:t>E. 13</w:t>
      </w:r>
    </w:p>
    <w:p>
      <w:r>
        <w:t>La recourante conteste le principe et la quotité de l’amende.</w:t>
      </w:r>
    </w:p>
    <w:p>
      <w:r>
        <w:rPr>
          <w:b/>
        </w:rPr>
        <w:t>E. 14</w:t>
      </w:r>
    </w:p>
    <w:p>
      <w:r>
        <w:t>Le Conseil d'Etat fixe par règlements les dispositions relatives à la sécurité et à la salubrité sur les chantiers (art. 151 let. d LCI).</w:t>
      </w:r>
    </w:p>
    <w:p>
      <w:r>
        <w:rPr>
          <w:b/>
        </w:rPr>
        <w:t>E. 15</w:t>
      </w:r>
    </w:p>
    <w:p>
      <w:r>
        <w:t>La prévention des accidents sur les chantiers et les mesures à prendre pour assurer la sécurité des travailleurs, du public, des ouvrages et de leurs abords sont réglées par les dispositions du RChant (art. 1 al. 1 RChant).</w:t>
      </w:r>
    </w:p>
    <w:p>
      <w:r>
        <w:rPr>
          <w:b/>
        </w:rPr>
        <w:t>E. 16</w:t>
      </w:r>
    </w:p>
    <w:p>
      <w:r>
        <w:t>Tous les participants à l'acte de construire, démolir, transformer, entretenir, c'est-à- dire toutes les personnes exécutant des travaux se rapportant à l'activité du bâtiment ou du génie civil, ainsi que les personnes physiques ou morales employant des travailleurs à cet effet et les personnes chargées de la surveillance des travaux, notamment pour le compte des bureaux d’ingénieurs, d’architectes, des entreprises générales et des coordonnateurs de sécurité et de santé, sont tenus de se conformer aux prescriptions légales sur la prévention des accidents sur les chantiers (art. 1 al. 2 RChant).</w:t>
      </w:r>
    </w:p>
    <w:p>
      <w:r>
        <w:rPr>
          <w:b/>
        </w:rPr>
        <w:t>E. 17</w:t>
      </w:r>
    </w:p>
    <w:p>
      <w:r>
        <w:t>Au même titre que, par exemple, la LCI dont il tire sa base légale, le RChant s'applique en tant que réglementation d'intérêt public sur tout le territoire cantonal, sur domaine public aussi bien que privé. Son art. 1 al. 2 mentionné ci- dessus indique clairement qu'il concerne toute personne impliquée dans l'acte de construire. La définition très large du cercle de ces personnes signifie que le critère d'application du RChant n'est pas la qualité dans laquelle elles exécutent ces travaux, mais le fait qu'elles participent à l'acte de construire, et que dans cette mesure, elles déploient une activité susceptible de faire courir des dangers à elles- mêmes ou à autrui. Pour les mêmes raisons, ce règlement ne s'applique pas uniquement dans les zones vouées à la construction, mais dans toute zone, dès lors que s'y déroule une activité de construction au sens de la LCI.</w:t>
      </w:r>
    </w:p>
    <w:p>
      <w:r>
        <w:rPr>
          <w:b/>
        </w:rPr>
        <w:t>E. 18</w:t>
      </w:r>
    </w:p>
    <w:p>
      <w:r>
        <w:t>In casu, le chantier visé par la sanction litigieuse tombait sous le coup du RChant et la recourante, en sa qualité de coordonnatrice de sécurité et de santé, était tenue de s'y conformer (art. 1 al. 2 RChant).</w:t>
      </w:r>
    </w:p>
    <w:p>
      <w:r>
        <w:t>- 11/14 - A/134/2024</w:t>
      </w:r>
    </w:p>
    <w:p>
      <w:r>
        <w:rPr>
          <w:b/>
        </w:rPr>
        <w:t>E. 19</w:t>
      </w:r>
    </w:p>
    <w:p>
      <w:r>
        <w:t>Selon l'art. 2 RChant, en tant qu'elles ne sont pas déjà incorporées dans son texte, les ordonnances du Conseil fédéral sur la prévention des accidents, au nombre desquelles figure notamment l'OTConst (cf. art. 1 OTConst), font partie intégrante du présent règlement dans le domaine de la prévention des accidents (al. 2).</w:t>
      </w:r>
    </w:p>
    <w:p>
      <w:r>
        <w:rPr>
          <w:b/>
        </w:rPr>
        <w:t>E. 20</w:t>
      </w:r>
    </w:p>
    <w:p>
      <w:r>
        <w:t>Le travail doit s'exécuter en prenant, en plus des mesures ordonnées par le règlement, toutes les précautions commandées par les circonstances et par les usages de la profession (art. 3 al. 1 RChant).</w:t>
      </w:r>
    </w:p>
    <w:p>
      <w:r>
        <w:rPr>
          <w:b/>
        </w:rPr>
        <w:t>E. 21</w:t>
      </w:r>
    </w:p>
    <w:p>
      <w:r>
        <w:t>A teneur de l’art. 233 RChant, la conduite des engins à moteur suivants est subordonnée à la possession d’un permis, notamment : ( ), monte-charges ; monte- personnes ( ).</w:t>
      </w:r>
    </w:p>
    <w:p>
      <w:r>
        <w:rPr>
          <w:b/>
        </w:rPr>
        <w:t>E. 22</w:t>
      </w:r>
    </w:p>
    <w:p>
      <w:r>
        <w:t>Le personnel assermenté du DT a le droit d'inspecter en tout temps les chantiers et de constater et signaler les infractions au RChant (art. 330 al. 1 RChant).</w:t>
      </w:r>
    </w:p>
    <w:p>
      <w:r>
        <w:rPr>
          <w:b/>
        </w:rPr>
        <w:t>E. 23</w:t>
      </w:r>
    </w:p>
    <w:p>
      <w:r>
        <w:t>Les contrôles de l'administration ne libèrent pas les intéressés de leurs obligations et de leur responsabilité (art. 331 RChant).</w:t>
      </w:r>
    </w:p>
    <w:p>
      <w:r>
        <w:rPr>
          <w:b/>
        </w:rPr>
        <w:t>E. 24</w:t>
      </w:r>
    </w:p>
    <w:p>
      <w:r>
        <w:t>Aux termes de l'art. 137 LCI, est passible d'une amende administrative de CHF 100.- à 150'000.- tout contrevenant aux règlements et arrêtés édictés conformément à l'art. 151 LCI, respectivement aux ordres donnés par le département dans les limites de la présente loi et des règlements et arrêtés édictés en vertu de celle-ci (art. 334 RChant).</w:t>
      </w:r>
    </w:p>
    <w:p>
      <w:r>
        <w:rPr>
          <w:b/>
        </w:rPr>
        <w:t>E. 25</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(ATA/263/2016 du 22 mars 2016 ; ATA/163/2014 du 18 mars 2014 ; ATA/61/2014 du 4 février 2014 ; ATA/74/2013 du 6 février 2013 ; Pierre MOOR/Etienne POLTIER, op. cit., ch. 1.4.5.5 p. 160 s).</w:t>
      </w:r>
    </w:p>
    <w:p>
      <w:r>
        <w:rPr>
          <w:b/>
        </w:rPr>
        <w:t>E. 26</w:t>
      </w:r>
    </w:p>
    <w:p>
      <w:r>
        <w:t>En vertu de l'art. 1 let. a LPG, les dispositions de la partie générale du CP s'appliquent à titre de droit cantonal supplétif, sous réserve de celles qui concernent exclusivement le juge pénal (comme notamment les art. 34 ss, 42 ss, 56 ss, 74 ss, 106 al. 2 et 3 et 107 CP ; ATA/886/2014 du 11 novembre 2014 ; ATA/147/2014 du 11 mars 2014 ; ATA/791/2013 du 3 décembre 2013 ; ATA/74/2013 du 6 février 2013 ; ATA/71/2012 du 31 janvier 2012).</w:t>
      </w:r>
    </w:p>
    <w:p>
      <w:r>
        <w:rPr>
          <w:b/>
        </w:rPr>
        <w:t>E. 27</w:t>
      </w:r>
    </w:p>
    <w:p>
      <w:r>
        <w:t>Il est ainsi nécessaire que le contrevenant ait commis une faute, fût-ce sous la forme d'une simple négligence (ATA/886/2014 du 11 novembre 2014 ; ATA/147/2014 du 11 mars 2014 ; ATA/791/2013 du 3 décembre 2013 ; ATA/74/2013 du 6 février 2013 et la référence citée).</w:t>
      </w:r>
    </w:p>
    <w:p>
      <w:r>
        <w:rPr>
          <w:b/>
        </w:rPr>
        <w:t>E. 28</w:t>
      </w:r>
    </w:p>
    <w:p>
      <w:r>
        <w:t>En l'espèce, la recourante ne conteste pas les faits constatés par le département lors du contrôle opéré le ______ 2022, à savoir que la personne qui conduisait le monte- charges/personnes sur le chantier était dépourvue du permis utile. En revanche, elle</w:t>
      </w:r>
    </w:p>
    <w:p>
      <w:r>
        <w:t>- 12/14 - A/134/2024 considère n'avoir pas été responsable de la sécurité du chantier ni de son suivi et n'avoir ainsi, commis aucune faute.</w:t>
      </w:r>
    </w:p>
    <w:p>
      <w:r>
        <w:rPr>
          <w:b/>
        </w:rPr>
        <w:t>E. 29</w:t>
      </w:r>
    </w:p>
    <w:p>
      <w:r>
        <w:t>Conformément au contrat du 8 juin 2021, A______ devait émettre des principes de sécurité pour chaque phase du projet et éditer un plan général de sécurité. Durant la phase dite d'exécution, elle devait notamment étudier les risques de co-activité et mettre en œuvre des procédures et de la planification pour les gérer, procéder à des audits sécurité sur site pour vérifier le respect des mesures de prévention, proposer des adaptations aux mesures de prévention ou de planification des activités et organiser et tenir des séances de sécurité spécifiques. Afin de remplir sa mission, elle a notamment édité le livret, l'a communiqué aux entreprises intervenantes soit directement soit par le biais d'B______, a exigé, à plusieurs reprises, que celui-ci lui soit retourné signé et que les permis monte- charge et feu lui soient transmis, tout comme la liste des collaborateurs prévoyant de travailler sur le chantier. Il en allait de même s'agissant du registre de formation. Elle a également tenu une séance dédiée spécifiquement à l'utilisation du monte- charge et exigé dans ses rapports de contrôle qu'une confirmation d'exécution des mesures à corriger lui soit envoyée dans les cinq jours. Ainsi, contrairement à ce qu'elle prétend, la recourante était clairement chargée de contrôler si les règles de sécurité étaient respectées sur le chantier en cours ou a, à tout le moins de fait, pris cette position. On en veut pour preuve qu'elle a demandé à plusieurs reprises de se voir remettre les permis de divers intervenants sur le chantier et l'identité de ceux- ci. Or, hormis pour contrôler si les entreprises et leurs employés possédaient les permis adéquats et valider leur intervention avant leur venue, il n'y avait aucune raison de procéder ainsi. C'est d'ailleurs dans cette dynamique que B______ a envoyé le permis feu d'G______ à la recourante le 6 avril 2022, en lui demandant formellement sa validation et qu'elle a écrit aux entreprises le 1er avril 2022 aux fins d'obtenir les permis M1SO car elle n'avait reçu que celui de J______ pour K______ SA, démontrant de la sorte qu'elle procédait aux vérifications utiles. Reste à examiner, si en cette qualité, elle a commis une faute. Sachant que M. F______ allait intervenir sur le chantier au vu du courriel du 6 avril 2022, il lui appartenait également, de vérifier s'il était en possession du permis obligatoire pour utiliser le monte-charge, tout comme elle l'avait fait pour Messieurs L______ et M______ (pièce 14 de son chargé de pièces). En tout état, si elle n'entendait pas vérifier elle-même les permis des utilisateurs du monte-charge, il appartenait à la recourante de prévoir clairement dans ses procédures de sécurité, qui devait les contrôler, à quel moment et comment, ce qu'elle n'a pas fait. Il n'était ainsi pas suffisant de prévoir dans le livret que les ouvriers devaient toujours porter sur eux le permis correspondant à l'engin ni d'organiser une séance sur l'utilisation du monte-charge après avoir constaté des carences. En effet, il ne s'agissait pas de mesures permettant de vérifier si les utilisateurs du monte-charge possédaient le permis requis mais d'instructions générales sur son utilisation.</w:t>
      </w:r>
    </w:p>
    <w:p>
      <w:r>
        <w:t>- 13/14 - A/134/2024 Dès lors, le tribunal retiendra que la recourante, en sa qualité de coordinatrice de sécurité et de santé, a manqué à ses obligations, ce qui a conduit à l'infraction constatée le ______ 2022. Compte tenu de sa position, du déroulement des faits et de ses connaissances professionnelles, la recourante ne pouvait ignorer la nature et la portée de ses obligations. Dans ces conditions, l'amende est donc fondée dans son principe.</w:t>
      </w:r>
    </w:p>
    <w:p>
      <w:r>
        <w:rPr>
          <w:b/>
        </w:rPr>
        <w:t>E. 30</w:t>
      </w:r>
    </w:p>
    <w:p>
      <w:r>
        <w:t>Reste à déterminer si la quotité de l’amende respecte le principe de proportionnalité. Les manquements reprochés se rapportent à des règles essentielles visant à assurer la sécurité d'un chantier aux fins de prévenir des risques d'accidents potentiellement très graves pour les ouvriers y travaillant, voire fatals, ce qui justifie en soit, le prononcé d'une amende élevée, ce qui n'est pas le cas en l'espèce puisque l'amende se situe dans la fourchette très basse prévue par l'art. 137 LCI. Par ailleurs, la peine a été individualisée conformément à l'art. 47 CP puisque le département l'a fixée en tenant compte de la culpabilité et de la situation personnelle de la recourante. Contrairement à ce que soutient cette dernière, une peine est individualisée si elle se rapporte aux circonstances de l'infraction et à la personnalité de son auteur, ce qui est le cas en l'espèce, et non en fonction du comportement et de la responsabilité de chaque auteur. Dès lors, le montant arrêté à CHF 2'000.- apparaît adéquat et respecter le principe de proportionnalité, étant considéré, pour le surplus, que la recourante n'allègue pas que le paiement de cette amende l'exposerait à une situation financière difficile (ATA/886/2014 du 11 novembre 2014 ; ATA/455/2009 du 15 septembre 2009 ; ATA/614/2008 du 9 décembre 2008 ; ATA/632/2007 du 11 décembre 2007).</w:t>
      </w:r>
    </w:p>
    <w:p>
      <w:r>
        <w:rPr>
          <w:b/>
        </w:rPr>
        <w:t>E. 31</w:t>
      </w:r>
    </w:p>
    <w:p>
      <w:r>
        <w:t>Le recours sera donc rejeté.</w:t>
      </w:r>
    </w:p>
    <w:p>
      <w:r>
        <w:rPr>
          <w:b/>
        </w:rPr>
        <w:t>E. 32</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w:t>
      </w:r>
    </w:p>
    <w:p>
      <w:r>
        <w:rPr>
          <w:b/>
        </w:rPr>
        <w:t>E. 33</w:t>
      </w:r>
    </w:p>
    <w:p>
      <w:r>
        <w:t>Vu l’issue du litige, aucune indemnité de procédure ne sera allouée (art. 87 al. 2 LPA).</w:t>
      </w:r>
    </w:p>
    <w:p>
      <w:r>
        <w:t>- 14/14 - A/134/2024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