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JTAPI/1261/2024 vom 19. Dezember 2024</w:t>
      </w:r>
    </w:p>
    <w:p>
      <w:r>
        <w:t>GE Cour de justice, 2024-12-19, FR</w:t>
      </w:r>
    </w:p>
    <w:p>
      <w:r>
        <w:rPr>
          <w:b/>
        </w:rPr>
        <w:t xml:space="preserve">Quelle: </w:t>
      </w:r>
      <w:r>
        <w:t>https://mcp.opencaselaw.ch/entscheid/ge_gerichte_JTAPI_1261_2024</w:t>
      </w:r>
    </w:p>
    <w:p>
      <w:r>
        <w:t>FR: GE_GERICHTE JTAPI/1261/2024 du 19 décembre 2024</w:t>
      </w:r>
    </w:p>
    <w:p>
      <w:r>
        <w:t>IT: GE_GERICHTE JTAPI/1261/2024 del 19 dicembre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4</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(ATA/1077/2024 du 10 septembre 2024 consid. 2.2).</w:t>
      </w:r>
    </w:p>
    <w:p>
      <w:r>
        <w:rPr>
          <w:b/>
        </w:rPr>
        <w:t>E. 5</w:t>
      </w:r>
    </w:p>
    <w:p>
      <w:r>
        <w:t>Les recourantes soutiennent que le projet ne met pas en péril les arbres concernés, que la décision entreprise se fonde à tort sur le PDCom, en lieu et place du RCVA, et qu’elle viole le principe de l’égalité de traitement.</w:t>
      </w:r>
    </w:p>
    <w:p>
      <w:r>
        <w:t>- 17/22 - A/3095/2023</w:t>
      </w:r>
    </w:p>
    <w:p>
      <w:r>
        <w:rPr>
          <w:b/>
        </w:rPr>
        <w:t>E. 6</w:t>
      </w:r>
    </w:p>
    <w:p>
      <w:r>
        <w:t>La loi sur la protection des monuments, de la nature et des sites du 4 juin 1976 (LPMNS - L 4 05) a notamment pour objectif d’assurer la sauvegarde de la nature, en ménageant l’espace vital nécessaire à la flore et à la faune, et en maintenant les milieux naturels (art. 1 let. c). À teneur de l'art. 36 al. 1 LPMNS, le Conseil d'État édicte les dispositions nécessaires à la protection, la conservation et l'aménagement des sites visés à l'art. 35 LPMNS, soit notamment les espèces végétales. Il peut n’autoriser que sous condition ou même interdire l'abattage, l’élagage ou la destruction de certaines essences d’arbres, de cordons boisés, de boqueteaux, buissons ou de haies vives (art. 36 al. 2 let. a LPMNS).</w:t>
      </w:r>
    </w:p>
    <w:p>
      <w:r>
        <w:rPr>
          <w:b/>
        </w:rPr>
        <w:t>E. 7</w:t>
      </w:r>
    </w:p>
    <w:p>
      <w:r>
        <w:t>En application de cette disposition, le Conseil d’État a adopté le RCVA, qui a pour but d’assurer la conservation, à savoir la protection, le maintien et le renouvel- lement, de la végétation formant les éléments majeurs du paysage (art. 1 RCVA). Ce règlement est applicable aux arbres situés en dehors de la forêt, telle que définie à l’art. 2 de la loi sur les forêts du 20 mai 1999 (LForêts - M 5 10), ainsi qu’aux haies vives et boqueteaux présentant un intérêt biologique ou paysager (art. 2 al. 1 RCVA).</w:t>
      </w:r>
    </w:p>
    <w:p>
      <w:r>
        <w:rPr>
          <w:b/>
        </w:rPr>
        <w:t>E. 8</w:t>
      </w:r>
    </w:p>
    <w:p>
      <w:r>
        <w:t>Selon l’art. 14 RCVA, les propriétaires, mandataires, requérants, constructeurs ou autres usagers de terrains sont tenus de veiller avec la plus grande attention à la préservation des arbres, haies vives et boqueteaux existants (al. 1). Il leur incombe de prendre, notamment lors de travaux, toutes précautions utiles pour assurer la survie des arbres, haies vives et boqueteaux, en se conformant aux directives édictées par le département (al. 2 let. b). L’art. 16 RCVA dispose que le département édicte des directives en matière de sauvegarde des végétaux maintenus, de leur mise en valeur et de l’exécution correcte des mesures compensatoires.</w:t>
      </w:r>
    </w:p>
    <w:p>
      <w:r>
        <w:rPr>
          <w:b/>
        </w:rPr>
        <w:t>E. 9</w:t>
      </w:r>
    </w:p>
    <w:p>
      <w:r>
        <w:t>La directive édictée sur la base de l’art. 16 RCVA, contraignante pour tous les propriétaires, mandataires, requérants, entrepreneurs ou autres usagers de terrain effectuant des travaux dans le domaine de l’arbre, a pour objectif de définir la notion d’espace vital d’un arbre et de préciser les mesures qui doivent être prises lors de travaux pour respecter la végétation conservée (ch. 1). Selon son ch. 3 (« conditions générales de protection de l’arbre »), dans le domaine de l’arbre, l’utilisation et le stockage de machines, de produits ou de matériaux pouvant être nuisibles à l’arbre (huiles, produits chimiques, résidus de ciment, etc.) sont à éviter. Dans le domaine vital, outre les mesures précédentes, les dispositions suivantes seront respectées : aucune modification du terrain naturel ; pose de protections physiques constituées de panneaux d’une hauteur minimum de 2 m fixés sur des montants ancrés solidement (les chabauris ne sont pas acceptés) ; la position exacte des protections est définie en accord avec le service ; toute pénétration est interdite (piétinement, dépôt de matériel ou circulation) à l’intérieur du périmètre</w:t>
      </w:r>
    </w:p>
    <w:p>
      <w:r>
        <w:t>- 18/22 - A/3095/2023 délimité pendant toute la durée du chantier ; aucune modification ou ouverture temporaire de cet espace ne peut être envisagée sans l’accord du service. Le domaine vital de l’arbre (qui « correspond à la zone d’extension des racines vitales de l’arbre ») est constitué d’un périmètre équivalant au rayon de la couronne + 1 m, de part et d’autre du tronc, et à la hauteur de l’arbre + 1 m, tandis que le domaine de l’arbre (« l’espace nécessaire au développement optimal de celui-ci ») représente le double du rayon de la couronne, de part et d’autre du tronc, et à la hauteur de l’arbre + 1 m (ch. 2). En principe, aucune intervention n’est autorisée à l’intérieur du domaine vital de l’arbre. « Une dérogation à ce principe n’est accordée qu’en cas d’impératif majeur, en fonction de l’arbre et du type de construction projetée, et elle est toujours accompagnée de mesures propres à limiter l’impact de l’intervention (dalle suspendue par exemple) » (ch. 2).</w:t>
      </w:r>
    </w:p>
    <w:p>
      <w:r>
        <w:rPr>
          <w:b/>
        </w:rPr>
        <w:t>E. 10</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w:t>
      </w:r>
    </w:p>
    <w:p>
      <w:r>
        <w:rPr>
          <w:b/>
        </w:rPr>
        <w:t>E. 11</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Selon une jurisprudence bien établie, les autorités de recours observent une certaine retenue pour éviter de substituer leur propre appréciation à celle des commissions de préavis pour autant que l’autorité inférieure suive l’avis de celles-ci.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(ATA/1351/2024 du 19 novembre 2024 consid. 2.2 et les références citées).</w:t>
      </w:r>
    </w:p>
    <w:p>
      <w:r>
        <w:rPr>
          <w:b/>
        </w:rPr>
        <w:t>E. 12</w:t>
      </w:r>
    </w:p>
    <w:p>
      <w:r>
        <w:t>Lorsque la loi autorise l’autorité administrative à déroger à l’une de ses dispositions, notamment en ce qui concerne les constructions admises dans une zone, elle confère à cette dernière un pouvoir d’appréciation qui n’est limité que par l’excès ou l’abus, les juridictions de recours n’ayant pas compétence pour apprécier l’opportunité des</w:t>
      </w:r>
    </w:p>
    <w:p>
      <w:r>
        <w:t>- 19/22 - A/3095/2023 décisions prises (art. 61 al. 2 LPA ; ATA/1101/2022 du 1er novembre 2022 consid. 5e et la référence citée). L’autorité administrative jouit ainsi d’un large pouvoir d’appréciation dans l’octroi de dérogations qui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(ATA/639/2020 du 30 juin 2020 consid. 4d ; ATA/1600/2019 du 29 octobre 2019 consid 6a ; ATA/1529/2019 du 15 octobre 2019 consid. 5f ; ATA/45/2019 du</w:t>
      </w:r>
    </w:p>
    <w:p>
      <w:r>
        <w:rPr>
          <w:b/>
        </w:rPr>
        <w:t>E. 15</w:t>
      </w:r>
    </w:p>
    <w:p>
      <w:r>
        <w:t>Au vu de ce qui précède, la question de savoir si le projet contreviendrait aux art. 3 al. 7 let. a et 75 LCI ainsi qu’aux art. 5 al. 1, 7 et 8 RPSFP peut souffrir de rester ouverte, de même que la question de savoir si ces griefs peuvent être examinés dans le cadre de la présente procédure ou s’ils en sont exhorbitants.</w:t>
      </w:r>
    </w:p>
    <w:p>
      <w:r>
        <w:rPr>
          <w:b/>
        </w:rPr>
        <w:t>E. 16</w:t>
      </w:r>
    </w:p>
    <w:p>
      <w:r>
        <w:t>Mal fondé, le recours sera rejeté et la décision entreprise confirmée.</w:t>
      </w:r>
    </w:p>
    <w:p>
      <w:r>
        <w:rPr>
          <w:b/>
        </w:rPr>
        <w:t>E. 17</w:t>
      </w:r>
    </w:p>
    <w:p>
      <w:r>
        <w:t>En application des art. 87 al. 1 LPA et 1 et 2 du règlement sur les frais, émoluments et indemnités en procédure administrative du 30 juillet 1986 (RFPA - E 5 10.03), les recourants, pris conjointement et solidairement, qui succombent, sont condamnées au paiement d’un émolument s’élevant à CHF 1'400.</w:t>
      </w:r>
    </w:p>
    <w:p>
      <w:r>
        <w:rPr>
          <w:b/>
        </w:rPr>
        <w:t>E. 18</w:t>
      </w:r>
    </w:p>
    <w:p>
      <w:r>
        <w:t>Vu l’issue du litige, une indemnité de procédure de CHF 1’200.-, à la charge des recourantes, sera allouée à la commune et aux intervenants, à hauteur d’une moitié pour chacun (art. 87 al. 2 à 4 LPA et 6 RFPA).</w:t>
      </w:r>
    </w:p>
    <w:p>
      <w:r>
        <w:t>- 22/22 - A/3095/2023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