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JTAPI/1259/2024 vom 9. Dezember 2024</w:t>
      </w:r>
    </w:p>
    <w:p>
      <w:r>
        <w:t>GE Cour de justice, 2024-12-09, FR</w:t>
      </w:r>
    </w:p>
    <w:p>
      <w:r>
        <w:rPr>
          <w:b/>
        </w:rPr>
        <w:t xml:space="preserve">Quelle: </w:t>
      </w:r>
      <w:r>
        <w:t>https://mcp.opencaselaw.ch/entscheid/ge_gerichte_JTAPI_1259_2024</w:t>
      </w:r>
    </w:p>
    <w:p>
      <w:r>
        <w:t>FR: GE_GERICHTE JTAPI/1259/2024 du 9 décembre 2024</w:t>
      </w:r>
    </w:p>
    <w:p>
      <w:r>
        <w:t>IT: GE_GERICHTE JTAPI/1259/2024 del 9 dicembre 2024</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w:t>
      </w:r>
    </w:p>
    <w:p>
      <w:r>
        <w:t>- 4/6 - A/4153/2024 sur une autre personne avec laquelle elle est liée par un rapport familial, conjugal, de partenariat ou d'union libre, existant ou rompu (art. 2 al. 1 LVD).</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La mesure d'éloignement est prononcée pour une durée de dix jours au moins et de 30 jours au plus (art. 8 al. 3 LVD).</w:t>
      </w:r>
    </w:p>
    <w:p>
      <w:r>
        <w:t>Elle peut être prolongée pour 30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t>- 5/6 - A/4153/2024</w:t>
      </w:r>
    </w:p>
    <w:p>
      <w:r>
        <w:rPr>
          <w:b/>
        </w:rPr>
        <w:t>E. 4</w:t>
      </w:r>
    </w:p>
    <w:p>
      <w:r>
        <w:t>En l'espèce, les violences psychologiques dont Mme A______ a été victime de par l'agressivité verbale et gestuelle de son mari, que ce soit par la rage qu'il a pu exprimer, ou par des propos humiliants, ne font pas de doute. Non seulement Mme A______ les a décrites de manière détaillée en étant très claires sur les circonstances de ces différentes violences, mais en outre, elles n'ont pas été formellement contestées par M. B______, voire il les a admises à demi-mot. A ces violences psychologiques, apparues en 2022 et qui sont allées crescendo durant la grossesse de Mme A______ avant de connaître une intensification particulière durant l'automne 2024, s'est ajoutée à une reprise un acte de violence physique, lors du coup de tête infligé par M. B______ à son épouse en juillet 2023. Les explications données par ce dernier sur le caractère involontaire de ce coup de tête, soi-disant donné alors qu'il hochait simplement la tête, ne font que traduire sa propre difficulté à admettre la violence dont il a fait preuve à cette occasion.</w:t>
      </w:r>
    </w:p>
    <w:p>
      <w:r>
        <w:rPr>
          <w:b/>
        </w:rPr>
        <w:t>E. 5</w:t>
      </w:r>
    </w:p>
    <w:p>
      <w:r>
        <w:t>Si le tribunal ne peut que saluer l'attitude de Mme A______ consistant à vouloir offrir à son mari une dernière chance de sauver leur mariage, et donner acte à M. B______ de son engagement à entreprendre toute démarche dans ce sens, il n'empêche qu'un retour de ce dernier au domicile conjugal paraît en l'état prématuré et inopportun. M. B______ doit en effet d'abord prendre conscience de la gravité et de la toxicité du comportement qu'il a eu à l'égard de son épouse, ce qu'il n'a pas encore pu commencer à faire concrètement à l'aide d'un tiers. A défaut, s'il devait revenir dès le 19 décembre 2024 au domicile conjugal, il est à craindre fortement qu'il sous-estime ses responsabilités et que de nouvelles violences ne surviennent à brève échéance.</w:t>
      </w:r>
    </w:p>
    <w:p>
      <w:r>
        <w:rPr>
          <w:b/>
        </w:rPr>
        <w:t>E. 6</w:t>
      </w:r>
    </w:p>
    <w:p>
      <w:r>
        <w:t>Dans cette mesure, la poursuite de l'éloignement de M. B______ paraît s'imposer. Cela n'aura cependant pas d'incidence sur son droit à entretenir des contacts avec sa fille, dans une mesure et selon des modalités qui devront être convenues entre les parents, voire avec l'appui du SPMi.</w:t>
      </w:r>
    </w:p>
    <w:p>
      <w:r>
        <w:rPr>
          <w:b/>
        </w:rPr>
        <w:t>E. 7</w:t>
      </w:r>
    </w:p>
    <w:p>
      <w:r>
        <w:t>Par conséquent, la demande de prolongation sera admise et la mesure d'éloignement prolongée pour une durée de 30 jours, cette durée arrivant à échéance le samedi 18 janvier 2025 à 17h00.</w:t>
      </w:r>
    </w:p>
    <w:p>
      <w:r>
        <w:rPr>
          <w:b/>
        </w:rPr>
        <w:t>E. 8</w:t>
      </w:r>
    </w:p>
    <w:p>
      <w:r>
        <w:t>Il ne sera pas perçu d'émolument (art. 87 al. 1 LPA).</w:t>
      </w:r>
    </w:p>
    <w:p>
      <w:r>
        <w:rPr>
          <w:b/>
        </w:rPr>
        <w:t>E. 9</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- 6/6 - A/4153/2024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