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JTAPI/1251/2023 vom 21. September 2023</w:t>
      </w:r>
    </w:p>
    <w:p>
      <w:r>
        <w:t>GE Cour de justice, 2023-09-21, FR</w:t>
      </w:r>
    </w:p>
    <w:p>
      <w:r>
        <w:rPr>
          <w:b/>
        </w:rPr>
        <w:t xml:space="preserve">Quelle: </w:t>
      </w:r>
      <w:r>
        <w:t>https://mcp.opencaselaw.ch/entscheid/ge_gerichte_JTAPI_1251_2023</w:t>
      </w:r>
    </w:p>
    <w:p>
      <w:r>
        <w:t>FR: GE_GERICHTE JTAPI/1251/2023 du 21 septembre 2023</w:t>
      </w:r>
    </w:p>
    <w:p>
      <w:r>
        <w:t>IT: GE_GERICHTE JTAPI/1251/2023 del 21 settembre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En vertu de l’art. 64 al. 1 de la loi sur la procédure administrative du 12 septembre 1985 (LPA - E 5 10), le recours est formé par écrit et adressé à la juridiction administrative appelée à en connaître.</w:t>
      </w:r>
    </w:p>
    <w:p>
      <w:r>
        <w:rPr>
          <w:b/>
        </w:rPr>
        <w:t>E. 3</w:t>
      </w:r>
    </w:p>
    <w:p>
      <w:r>
        <w:t>À teneur des art. 12 ss de la loi fédérale complétant le Code civil suisse du 30 mars 1911 (Livre cinquième : Droit des obligations - CO - RS 220) et notamment de l'art. 14 al. 1, la forme écrite implique que la signature doit être écrite à la main par celui qui s'oblige.</w:t>
      </w:r>
    </w:p>
    <w:p>
      <w:r>
        <w:rPr>
          <w:b/>
        </w:rPr>
        <w:t>E. 4</w:t>
      </w:r>
    </w:p>
    <w:p>
      <w:r>
        <w:t>Selon le droit actuellement en vigueur, le défaut de signature est cependant un vice réparable pour autant que la signature soit ajoutée en temps voulu (ATF 125 I 166). Cette réglementation tend à éviter tout formalisme excessif en permettant à l’intéressé de réparer une omission (ATA/452/2018 précité).</w:t>
      </w:r>
    </w:p>
    <w:p>
      <w:r>
        <w:t>- 3/4 - A/3288/2023</w:t>
      </w:r>
    </w:p>
    <w:p>
      <w:r>
        <w:rPr>
          <w:b/>
        </w:rPr>
        <w:t>E. 5</w:t>
      </w:r>
    </w:p>
    <w:p>
      <w:r>
        <w:t>En l'espèce, la signature apposée au bas de l'acte de recours du 9 octobre 2023 est illisible et ne permet pas de vérifier si son auteur est une personne habilitée à engager et représenter la recourante selon les indications figurant au registre du commerce. En d'autres termes, cet acte ne permet pas de vérifier s'il a été valablement signé au sens des dispositions légales susmentionnées. Le tribunal a par conséquent imparti à la recourante un délai au 27 octobre 2023 pour y remédier, l'avertissant qu'à défaut, le recours serait déclaré irrecevable.</w:t>
      </w:r>
    </w:p>
    <w:p>
      <w:r>
        <w:rPr>
          <w:b/>
        </w:rPr>
        <w:t>E. 6</w:t>
      </w:r>
    </w:p>
    <w:p>
      <w:r>
        <w:t>La recourante n'ayant pas donné suite à cette invitation, le recours devra être déclaré irrecevable.</w:t>
      </w:r>
    </w:p>
    <w:p>
      <w:r>
        <w:rPr>
          <w:b/>
        </w:rPr>
        <w:t>E. 7</w:t>
      </w:r>
    </w:p>
    <w:p>
      <w:r>
        <w:t>En application des art. 87 al. 1 LPA et 1 et 2 du règlement sur les frais, émoluments et indemnités en procédure administrative du 30 juillet 1986 (RFPA - E 5 10.03), la recourante, qui succombe, est condamnée au paiement d’un émolument s'élevant à CHF 250.-. Vu l’issue du litige, aucune indemnité de procédure ne sera allouée (art. 87 al. 2 LPA).</w:t>
      </w:r>
    </w:p>
    <w:p>
      <w:r>
        <w:t>- 4/4 - A/3288/2023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