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JTAPI/124/2021 vom 8. Februar 2021</w:t>
      </w:r>
    </w:p>
    <w:p>
      <w:r>
        <w:t>GE Cour de justice, 2021-02-08, FR</w:t>
      </w:r>
    </w:p>
    <w:p>
      <w:r>
        <w:rPr>
          <w:b/>
        </w:rPr>
        <w:t xml:space="preserve">Quelle: </w:t>
      </w:r>
      <w:r>
        <w:t>https://mcp.opencaselaw.ch/entscheid/ge_gerichte_JTAPI_124_2021</w:t>
      </w:r>
    </w:p>
    <w:p>
      <w:r>
        <w:t>FR: GE_GERICHTE JTAPI/124/2021 du 8 février 2021</w:t>
      </w:r>
    </w:p>
    <w:p>
      <w:r>
        <w:t>IT: GE_GERICHTE JTAPI/124/2021 del 8 febbraio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contribuables demandent l’imposition partielle des dividendes provenant des participations qu’ils détiennent dans les SI.</w:t>
      </w:r>
    </w:p>
    <w:p>
      <w:r>
        <w:t>- 4/7 - A/2025/2020</w:t>
      </w:r>
    </w:p>
    <w:p>
      <w:r>
        <w:rPr>
          <w:b/>
        </w:rPr>
        <w:t>E. 4</w:t>
      </w:r>
    </w:p>
    <w:p>
      <w:r>
        <w:t>Depuis le 1er janvier 2009,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 (art. 20 al. 1bis LIFD ; art. 22 al. 2 de la loi sur l'imposition des personnes physiques du 27 septembre 2009 - LIPP - D 3 08 ; art. 6 al. 2 de l’ancienne loi sur l’imposition des personnes physiques - Impôt sur le revenu (revenu imposable) du 22 septembre 2000 - aLIPP-IV - D 3 14).</w:t>
      </w:r>
    </w:p>
    <w:p>
      <w:r>
        <w:rPr>
          <w:b/>
        </w:rPr>
        <w:t>E. 5</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59 al. 1 LPFisc).</w:t>
      </w:r>
    </w:p>
    <w:p>
      <w:r>
        <w:rPr>
          <w:b/>
        </w:rPr>
        <w:t>E. 6</w:t>
      </w:r>
    </w:p>
    <w:p>
      <w:r>
        <w:t>Selon la jurisprudence (arrêt du Tribunal fédéral 2C_129/2018 du 24 septembre 2018 consid. 7.2 et les réf. citées), lorsque le rappel d'impôt a lieu en raison d'une déclaration inexacte du contribuable, les conditions auxquelles un nouvel examen de la taxation peut être effectué ne peuvent être que celles des art. 151 ss LIFD. Celles-ci définissent le cadre dans lequel doivent se résoudre les tensions entre les principes de la légalité et de l'égalité de traitement, d'une part, et, d'autre part, entre les principes de la sécurité juridique et de la protection de la bonne foi. Il en résulte notamment que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Les nouveaux arguments que le contribuable peut faire valoir de son côté pour diminuer l'imposition dans la procédure de rappel d'impôt sont limités : le contribuable ne doit pas profiter de la procédure de rappel d'impôt pour revenir librement sur l'ensemble de la taxation ; sous réserve d'une erreur manifeste, celui- ci peut uniquement demander que la taxation soit reprise en sa faveur sur les points qui, précisément font l'objet du rappel d'impôt.</w:t>
      </w:r>
    </w:p>
    <w:p>
      <w:r>
        <w:rPr>
          <w:b/>
        </w:rPr>
        <w:t>E. 7</w:t>
      </w:r>
    </w:p>
    <w:p>
      <w:r>
        <w:t>En l’occurrence, les recourants ont procédé à une dénonciation spontanée portant sur deux fondations, des comptes bancaires, ainsi que sur un trust. Cette dénonciation ne concernait en revanche pas les quatre SI. Puisque la procédure de rappel d’impôt ne comporte aucun lien avec les participations qu’ils détiennent dans ces sociétés et qu’elle n’équivaut pas à un examen complet de leur taxation, les contribuables ne sont pas fondés à solliciter l’imposition partielle des dividendes provenant des participations qu’ils détiennent dans ces SI.</w:t>
      </w:r>
    </w:p>
    <w:p>
      <w:r>
        <w:t>- 5/7 - A/2025/2020 Cela étant, ils sollicitent la révision de leurs taxations.</w:t>
      </w:r>
    </w:p>
    <w:p>
      <w:r>
        <w:rPr>
          <w:b/>
        </w:rPr>
        <w:t>E. 8</w:t>
      </w:r>
    </w:p>
    <w:p>
      <w:r>
        <w:t>À teneur des art. 147 al. 1 LIFD et 55 al. 1 LPFisc, une décision ou un prononcé entré en force peut être révisé en faveur du contribuable, à sa demande ou d’office :  lorsque des faits importants ou des preuves concluantes sont découverts ;  lorsque l’autorité qui a statué n’a pas tenu compte de faits importants ou de preuves concluantes qu’elle connaissait ou devait connaître, ou qu’elle a violé de quelque autre manière l’une des règles essentielles de la procédure ;  lorsqu’un crime ou un délit a influé sur la décision ou le prononcé. La demande de révision doit être déposée dans les nonante jours qui suivent la découverte du motif de révision, mais au plus tard dans les dix ans qui suivent la notification de la décision ou du prononcé (art. 148 LIFD ; art. 56 LPFisc). Par ailleurs, la révision est exclue lorsque le requérant a invoqué des motifs qu’il aurait déjà pu faire valoir au cours de la procédure ordinaire s’il avait fait preuve de toute la diligence qui pouvait raisonnablement être exigée de lui (art. 147 al. 2 LIFD ; art. 55 al. 2 LPFisc). Enfin, la révision d’une décision ou d’un prononcé est de la compétence de l’autorité qui a rendu cette décision ou ce prononcé (art. 149 al. 1 LIFD ; art. 57 al. 1 LPFisc).</w:t>
      </w:r>
    </w:p>
    <w:p>
      <w:r>
        <w:rPr>
          <w:b/>
        </w:rPr>
        <w:t>E. 9</w:t>
      </w:r>
    </w:p>
    <w:p>
      <w:r>
        <w:t>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(ATA/123/2019 du 5 février 2019 consid. 7b ; ATA/1281/2018 du 27 novembre 2018 consid. 3).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(ATA/1302/2020 du 15 décembre 2020 consid. 3a).</w:t>
      </w:r>
    </w:p>
    <w:p>
      <w:r>
        <w:t>- 6/7 - A/2025/2020</w:t>
      </w:r>
    </w:p>
    <w:p>
      <w:r>
        <w:rPr>
          <w:b/>
        </w:rPr>
        <w:t>E. 10</w:t>
      </w:r>
    </w:p>
    <w:p>
      <w:r>
        <w:t>Sont nouveaux, au sens de cette disposition, les faits qui, survenus à un moment où ils pouvaient encore être allégués dans la procédure principale, n’étaient pas connus du requérant malgré toute sa diligence (ATF 134 III 669 consid. 2.2 ; 134 IV 48 consid. 1.2).</w:t>
      </w:r>
    </w:p>
    <w:p>
      <w:r>
        <w:rPr>
          <w:b/>
        </w:rPr>
        <w:t>E. 11</w:t>
      </w:r>
    </w:p>
    <w:p>
      <w:r>
        <w:t>En l’occurrence, l’AFC-GE – et non le tribunal – dispose de la compétence pour se prononcer sur la révision des bordereaux de rappel d’impôt litigieux (art. 149 al. 1 LIFD ; art. 57 al. 1 LPFisc). Toutefois, étant donné qu’elle s’est déterminée à ce sujet dans sa réponse au recours, le tribunal, par économie de procédure, ne lui renverra pas le dossier et statuera lui-même sur cette question. Selon les recourants, l’autorité intimée devait connaître le fait qu’ils détenaient l’intégralité du capital-actions des quatre SI, de sorte qu’elle aurait dû leur accorder l’imposition partielle des dividendes. Cette argumentation tombe à faux. Les recourants ne font en réalité valoir aucun fait nouveau dont ils n’auraient pas été en mesure de se prévaloir dans le cadre d’une réclamation à l’encontre de leurs bordereaux (initiaux) 2009 à 2015, mais sollicitent la correction d’une erreur de droit en raison d’une mauvaise application par l’AFC-GE des dispositions légales sur l’imposition partielle des dividendes, à savoir les art. 20 al. 1 bis LIFD, 22 al. 2 LIPP et 6 al. 2 aLIPP-IV. Or, la procédure de révision ne permet précisément pas de supprimer une erreur de droit. Les intéressés auraient pu et dû invoquer un tel grief dans le cadre de la procédure de réclamation à l’encontre des bordereaux de taxation initiaux. Ne l’ayant pas fait, la voie de la révision leur est fermée (art. 147 al. 2 LIFD ; art. 55 al. 2 LPFisc). Au surplus, ils ne sauraient se prévaloir du fait que M. B______ était âgé de plus de 80 ans lors de l’établissement de ses déclarations fiscales et qu’il aurait ignoré l’existence de l’imposition partielle des dividendes. En effet, les contribuables étaient en mesure de consulter un mandataire professionnellement qualifier au moment de remplir leur déclaration fiscale ou à réception de leurs taxations, ce qu’ils ont été capables de faire dans le cadre du présent recours. Au vu de ce qui précède, le recours doit être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- 7/7 - A/2025/2020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