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JTAPI/1246/2024 vom 16. Dezember 2024</w:t>
      </w:r>
    </w:p>
    <w:p>
      <w:r>
        <w:t>GE Cour de justice, 2024-12-16, FR</w:t>
      </w:r>
    </w:p>
    <w:p>
      <w:r>
        <w:rPr>
          <w:b/>
        </w:rPr>
        <w:t xml:space="preserve">Quelle: </w:t>
      </w:r>
      <w:r>
        <w:t>https://mcp.opencaselaw.ch/entscheid/ge_gerichte_JTAPI_1246_2024</w:t>
      </w:r>
    </w:p>
    <w:p>
      <w:r>
        <w:t>FR: GE_GERICHTE JTAPI/1246/2024 du 16 décembre 2024</w:t>
      </w:r>
    </w:p>
    <w:p>
      <w:r>
        <w:t>IT: GE_GERICHTE JTAPI/1246/2024 del 16 dicembre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présent litige porte sur les bordereaux de rappels d'impôts et amendes notifiés à la recourante pour les années 2014 et 2017.</w:t>
      </w:r>
    </w:p>
    <w:p>
      <w:r>
        <w:rPr>
          <w:b/>
        </w:rPr>
        <w:t>E. 4</w:t>
      </w:r>
    </w:p>
    <w:p>
      <w:r>
        <w:t>À teneur des art. 151 al. 1 LIFD et 69 al. 1 LPFisc,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5</w:t>
      </w:r>
    </w:p>
    <w:p>
      <w:r>
        <w:t>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w:t>
      </w:r>
    </w:p>
    <w:p>
      <w:r>
        <w:t>- 7/12 - A/3767/2023 porter que sur les points pour lesquels l’autorité fiscale dispose de nouveaux éléments (ATF 144 II 359 consid. 4.5.1).</w:t>
      </w:r>
    </w:p>
    <w:p>
      <w:r>
        <w:rPr>
          <w:b/>
        </w:rPr>
        <w:t>E. 6</w:t>
      </w:r>
    </w:p>
    <w:p>
      <w:r>
        <w:t>Pour sa part,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C_879/2008 du 20 avril 2009 consid. 5.1).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La rupture du lien de causalité est soumise à des exigences sévères, à savoir une négligence grave de l'autorité fiscale (arrêt 2C_1018/2015 du 2 novembre 2017 consid. 6.1 et les arrêts cités)"(ATF 2C_700/2022 du 25.11.2022 consid. 8.1). Dans un arrêt antérieur, le Tribunal fédéral a considéré que l’autorité fiscale "n'a pas l'obligation, en l'absence d'indice particulier, d'effectuer des recoupements avec les données d'autres contribuables (arrêt du Tribunal fédéral 2A. 187/2000 du 3 novembre 2000) ni de se mettre à la recherche de renseignements supplémentaires dans le dossier fiscal du contribuable concerné." (RDAF 2003 II 622 consid. 3.3.2)</w:t>
      </w:r>
    </w:p>
    <w:p>
      <w:r>
        <w:rPr>
          <w:b/>
        </w:rPr>
        <w:t>E. 7</w:t>
      </w:r>
    </w:p>
    <w:p>
      <w:r>
        <w:t>En l'espèce, il n'est pas contesté que, s'agissant de la période 2017, la recourante n'a mentionné aucune part dans une succession non partagée. Elle n’y a pas non plus fait mention dans le cadre de l’instruction de la réclamation qu’elle avait déposée contre les bordereaux émis pour cette période. Les conditions d'un rappel d'impôts pour celle-ci sont manifestement réunies.</w:t>
      </w:r>
    </w:p>
    <w:p>
      <w:r>
        <w:rPr>
          <w:b/>
        </w:rPr>
        <w:t>E. 8</w:t>
      </w:r>
    </w:p>
    <w:p>
      <w:r>
        <w:t>En ce qui concerne la période 2014, la question d'un rappel d'impôts portant sur la rente viagère est plus délicate. En effet, la recourante avait retourné pour cette période un formulaire vierge signé, mais y avait annexé diverses attestations de rentes, qui ont pu être correctement prises en compte dans les bordereaux émis le 31 août 2015. Il n'y avait en revanche aucun justificatif relatif à la rente viagère litigieuse.</w:t>
      </w:r>
    </w:p>
    <w:p>
      <w:r>
        <w:rPr>
          <w:b/>
        </w:rPr>
        <w:t>E. 9</w:t>
      </w:r>
    </w:p>
    <w:p>
      <w:r>
        <w:t>Au caractère manifestement incomplet de la déclaration déposée, on peut opposer à l'AFC-GE le fait que, en 2011 déjà, elle avait été saisie d'une demande d'accord préalable sur les modalités de la vente immobilière et le paiement d'une partie du prix sous forme de rente viagère qui a été retournée avec "bon pour accord". Cette</w:t>
      </w:r>
    </w:p>
    <w:p>
      <w:r>
        <w:t>- 8/12 - A/3767/2023 même rente, omise dans la déclaration fiscale 2013, avait fait l'objet d'un courrier complétant celle-ci et a été taxée. La recourante se prévaut de ces deux éléments et soutient que, par essence, une rente viagère ne s'éteint pas, si bien que le taxateur, en se basant sur les éléments du dossier, aurait spontanément dû l'intégrer dans la taxation de la période suivante.</w:t>
      </w:r>
    </w:p>
    <w:p>
      <w:r>
        <w:rPr>
          <w:b/>
        </w:rPr>
        <w:t>E. 10</w:t>
      </w:r>
    </w:p>
    <w:p>
      <w:r>
        <w:t>Pour le tribunal, l'AFC-GE ne pouvait pas en l'espèce partir de l'idée qu'une déclaration complète lui avait été soumise, puisque celle-ci n'avait pas du tout été remplie et que seuls quelques justificatifs avaient été annexés au formulaire signé et retourné par la recourante. C'est pour cette raison que ses Services de l'immobilier et des titres ont demandé que soient remplies des annexes complètes, qui lui ont été retournées dans les délais et avec les justificatifs requis par la recourante. On peut dès lors s'étonner qu'il ne lui y ait pas été donné l'occasion de remplir une déclaration complète comprenant les autres revenus et déductions.</w:t>
      </w:r>
    </w:p>
    <w:p>
      <w:r>
        <w:rPr>
          <w:b/>
        </w:rPr>
        <w:t>E. 11</w:t>
      </w:r>
    </w:p>
    <w:p>
      <w:r>
        <w:t>Pour établir dans ces circonstances très particulières la taxation 2014 de la recourante, il apparaît évident que le taxateur a dû examiner quels éléments ont été retenus dans la taxation de la période précédente et a ainsi pu fixer le montant de certaines déductions, en particulier les primes d’assurance. Il est inexplicable qu’il ne se soit pas interrogé sur la rente viagère litigieuse, qui avait fait l’objet d’un courrier se trouvant dans le dossier de la période 2013. C’est d’ailleurs de manière pertinente que la recourante relève que, par définition, une rente viagère perdure jusqu’au décès de sa bénéficiaire.</w:t>
      </w:r>
    </w:p>
    <w:p>
      <w:r>
        <w:rPr>
          <w:b/>
        </w:rPr>
        <w:t>E. 12</w:t>
      </w:r>
    </w:p>
    <w:p>
      <w:r>
        <w:t>Le tribunal retient dès lors que l’AFC-GE a fait preuve d’une négligence suffisamment grave pour que le lien de causalité entre absence de déclaration et taxation incomplète soit rompu, de sorte qu’elle n’était pas en droit de corriger son erreur par un rappel d’impôt. Celui-ci sera dès lors annulé, ce qui conduit également à l’annulation des pénalités infligées pour la période 2013.</w:t>
      </w:r>
    </w:p>
    <w:p>
      <w:r>
        <w:rPr>
          <w:b/>
        </w:rPr>
        <w:t>E. 13</w:t>
      </w:r>
    </w:p>
    <w:p>
      <w:r>
        <w:t>Les rappels d'impôt ayant été confirmés dans leur principe pour la période 2017 seulement, reste à examiner la question des pénalités.</w:t>
      </w:r>
    </w:p>
    <w:p>
      <w:r>
        <w:rPr>
          <w:b/>
        </w:rPr>
        <w:t>E. 14</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w:t>
      </w:r>
    </w:p>
    <w:p>
      <w:r>
        <w:rPr>
          <w:b/>
        </w:rPr>
        <w:t>E. 15</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w:t>
      </w:r>
    </w:p>
    <w:p>
      <w:r>
        <w:t>- 9/12 - A/3767/2023 fiscale de manière non conforme à la vérité et non complète, en violation de l'art. 124 al. 2 LIFD (arrêt du Tribunal fédéral 2C_1018/2015 précité consid. 9.4.2 et les références citées).</w:t>
      </w:r>
    </w:p>
    <w:p>
      <w:r>
        <w:rPr>
          <w:b/>
        </w:rPr>
        <w:t>E. 16</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w:t>
      </w:r>
    </w:p>
    <w:p>
      <w:r>
        <w:rPr>
          <w:b/>
        </w:rPr>
        <w:t>E. 17</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18</w:t>
      </w:r>
    </w:p>
    <w:p>
      <w:r>
        <w:t>"La présomption d'innocence, garantie par les art. 6 par. 2 CEDH et 32 al. 1 Cst., ainsi que son corollaire, le principe in dubio pro reo, concernent tant le fardeau de la preuve que l'appréciation des preuves (ATF 120 Ia 31 consid. 2c). En tant que</w:t>
      </w:r>
    </w:p>
    <w:p>
      <w:r>
        <w:t>- 10/12 - A/3767/2023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144 IV 345 consid. 2.2.3.3; 127 I 38 consid. 2a; 124 IV 86 consid. 2a; 120 Ia 31 consid. 2c). (…)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145 IV 154 consid. 1.1; 127 I 38 consid. 2; 124 IV 86 consid. 2a; 120 Ia 31 consid. 2c-e)." (ATF 2C_700/2022 du 26.11.2022 consid. 11).</w:t>
      </w:r>
    </w:p>
    <w:p>
      <w:r>
        <w:rPr>
          <w:b/>
        </w:rPr>
        <w:t>E. 19</w:t>
      </w:r>
    </w:p>
    <w:p>
      <w:r>
        <w:t>En l’espèce, les rappels d'impôts ont été confirmés par le tribunal. Les éléments objectifs d'une soustraction consommée sont ainsi réunis.</w:t>
      </w:r>
    </w:p>
    <w:p>
      <w:r>
        <w:rPr>
          <w:b/>
        </w:rPr>
        <w:t>E. 20</w:t>
      </w:r>
    </w:p>
    <w:p>
      <w:r>
        <w:t>Reste à déterminer si les conditions subjectives sont réunies. Dans sa réponse au recours, l'AFC-GE estime qu'une simple négligence peut être reprochée à la recourante. Un comportement intentionnel de sa part, fût-ce par dol éventuel, n'est en effet pas démontré.</w:t>
      </w:r>
    </w:p>
    <w:p>
      <w:r>
        <w:rPr>
          <w:b/>
        </w:rPr>
        <w:t>E. 21</w:t>
      </w:r>
    </w:p>
    <w:p>
      <w:r>
        <w:t>Aucun des documents versés à la procédure ne permet de justifier qu'avant la réception du jugement du tribunal d'arrondissement de E______ (ZH) du 7 décembre 2018, la recourante pouvait imaginer être héritière de la de cujus. Il s'agissait en effet d'une parente éloignée décédée dans un autre canton et le tribunal tient pour plausible l'allégation de la recourante selon laquelle elle n'avait aucun contact avec elle. En revanche, elle aurait dû spontannément transmettre à l’AFC- GE l’attestation qu’elle avait reçue début février 2019, soit quelques jours avant ou après avoir complété la réclamation qu’elle avait déposée contre sa taxation 2017. Cette omission constitue à tout le moins une négligence, et le tribunal confirmera sur ce point l’analyse de l’AFC-GE.</w:t>
      </w:r>
    </w:p>
    <w:p>
      <w:r>
        <w:rPr>
          <w:b/>
        </w:rPr>
        <w:t>E. 22</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rPr>
          <w:b/>
        </w:rPr>
        <w:t>E. 23</w:t>
      </w:r>
    </w:p>
    <w:p>
      <w:r>
        <w:t>La quotité précise de l’amende doit par ailleurs être fixée en tenant compte des dispositions de la partie générale du CP, les principes de l’art. 47 CP régissant la fixation de la peine s’appliquant. En droit pénal fiscal, les éléments principaux à</w:t>
      </w:r>
    </w:p>
    <w:p>
      <w:r>
        <w:t>- 11/12 - A/3767/2023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24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25</w:t>
      </w:r>
    </w:p>
    <w:p>
      <w:r>
        <w:t>En l’espèce, l’AFC-GE propose, dans sa réponse au recours, de retenir une négligence et de réduire la quotité des amendes à 0.40 fois. Celle-ci est proche du minimum de un tiers et est dès lors conforme à la loi. Elle sera confirmée par le tribunal.</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la recourante, dont le recours est largement admis, est condamnée au paiement d’un émolument réduit s'élevant à CHF 200.- ; il est couvert par l’avance de frais versée à la suite du dépôt du recours. 27. Vu l'issue du litige, une indemnité de procédure de CHF 1’000.-, à la charge de l'État de Genève, soit pour lui l’administration fiscale cantonale, sera allouée à la recourante (art. 87 al. 2 à 4 LPA et 6 RFPA).</w:t>
      </w:r>
    </w:p>
    <w:p>
      <w:r>
        <w:t>- 12/12 - A/3767/2023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