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JTAPI/1246/2021 vom 9. Dezember 2021</w:t>
      </w:r>
    </w:p>
    <w:p>
      <w:r>
        <w:t>GE Cour de justice, 2021-12-09, FR</w:t>
      </w:r>
    </w:p>
    <w:p>
      <w:r>
        <w:rPr>
          <w:b/>
        </w:rPr>
        <w:t xml:space="preserve">Quelle: </w:t>
      </w:r>
      <w:r>
        <w:t>https://mcp.opencaselaw.ch/entscheid/ge_gerichte_JTAPI_1246_2021</w:t>
      </w:r>
    </w:p>
    <w:p>
      <w:r>
        <w:t>FR: GE_GERICHTE JTAPI/1246/2021 du 9 décembre 2021</w:t>
      </w:r>
    </w:p>
    <w:p>
      <w:r>
        <w:t>IT: GE_GERICHTE JTAPI/1246/2021 del 9 dicembre 2021</w:t>
      </w:r>
    </w:p>
    <w:p>
      <w:pPr>
        <w:pStyle w:val="Heading2"/>
      </w:pPr>
      <w:r>
        <w:t>Erwägungen</w:t>
      </w:r>
    </w:p>
    <w:p>
      <w:r>
        <w:rPr>
          <w:b/>
        </w:rPr>
        <w:t>E. 8</w:t>
      </w:r>
    </w:p>
    <w:p>
      <w:r>
        <w:t>Par acte du 30 juin 2021, M. CHRISTEN a recouru auprès du Tribunal administratif de première instance (ci-après : le tribunal) contre cette décision. La maison adossée à la sienne comportait une petite lucarne comme celle projetée. Tel était également le cas de beaucoup de maisons avoisinantes sises route de Bardonnex ou chemin Babel, notamment. Dans ces conditions, il était arbitraire de considérer que la lucarne projetée était de nature à porter atteinte au caractère architectural du village de Bardonnex et aux qualités du site. Il ne comprenait pour le surplus pas la référence de la CMNS à la DD initiale. Un dossier photographique de six pages relatif aux toitures de maisons sises, 235A, 236, 237, 239-241, 242, 242A, 243, 246 route de Bardonnex et chemin de Babel, était joint à l'appui de ses écritures.</w:t>
      </w:r>
    </w:p>
    <w:p>
      <w:r>
        <w:rPr>
          <w:b/>
        </w:rPr>
        <w:t>E. 9</w:t>
      </w:r>
    </w:p>
    <w:p>
      <w:r>
        <w:t>Dans ses observations du 30 août 2021, le département a conclu au rejet du recours. Le recourant semblait contester l'application faite de l'art 106 de la loi sur les constructions et les installations diverses du 14 avril 1988 (LCI - L 5 05) et considérer que le principe de l'égalité de traitement avait été violé. En l'espèce, la demande complémentaire avait pour objet de modifier l'autorisation principale en vigueur ce qui expliquait que la CMNS y faisait référence. Pour rappel, dans ce cadre, et durant le long processus de la requête initiale entamée en juin 2016 et décidée en avril 2018, le projet avait été modifié pour répondre aux diverses attentes du SMS. Le dimensionnement et le rythme des fenêtres et tabatières avaient notamment été modifiés, les ouvertures sur le pignon (côté Babel) supprimées et les châssis en toiture alignés, afin d'être plus en harmonie avec les caractéristiques de la zone protégée en se basant sur le relevé des propriétés voisines fait par le géomètre. Ainsi, les demandes formulées par le SMS avaient permis de créer une hiérarchie de lecture entre le bâtiment préexistant (242, route de Bardonnex) et le nouveau bâtiment, moins haut et en retrait. Quant à la toiture, le projet autorisé avait permis la mise en place d'une toiture calme sur rue et d'une grande lucarne sur cour permettant au bâtiment de s'intégrer dans son environnement protégé tout en créant de l'habitabilité dans les combles pour la chambre parentale (avec des jours droits conséquents). Cette solution correspondait aux principes appliqués par la CMNS qui, s'agissant des toitures, encourageait l'homogénéité du paysage des toitures des villages par le biais d'ouvertures restreintes, tabatières ou châssis de petites dimensions pour l'éclairage de pièces non habitables. Rappelant le contexte sensible de la parcelle concernée, qui était libre de construction, située au cœur de Bardonnex, dans la</w:t>
      </w:r>
    </w:p>
    <w:p>
      <w:r>
        <w:t>- 4/13 - A/2231/2021 séquence des bâtiments anciens implantés le long de l'artère principale et qui formaient la structure traditionnelle du village, la CMNS s'était dès lors déclarée défavorable à la demande complémentaire et avait demandé de s'en tenir à ce qui avait été autorisé, soit une grande lucarne sur cour au profit d'une toiture calme sur rue, afin de parvenir à une bonne intégration du bâtiment au tissu rural ancien. En effet, dans un tel contexte, la mise en place de lucarnes était possible, mais elle s'effectuait avec parcimonie, particulièrement lorsque la pièce n'était pas habitable. Or, en l'espèce, il ressortait du plan du deuxième étage que non seulement la pièce en question avait une destination de bureau, mais que la majeure partie de cette dernière comportait une hauteur inférieure à 1.80m. Or, les jours en toiture avaient été prévus en fonction de la destination des pièces et la pesée des intérêts en présence avait abouti à privilégier une chambre généreuse côté cour et la mise en place de trois tabatières harmonieusement disposées en un seul registre, le plus haut possible, pour les pièces techniques côté rue. Partant, c'était à juste titre et sans abuser de son pouvoir d'appréciation, qu'il avait suivi l'avis de la CMNS, composée de spécialistes en matière de protection du patrimoine, et refusé l'autorisation de construire complémentaire. S'agissant enfin de la prétendue inégalité de traitement, la CMNS avait effectué ses examens en fonction de la zone 4B protégée dans laquelle s'intégrait le projet litigieux et en se référant notamment à l'ouvrage "Les maisons rurales du canton de Genève", Genève 2006 duquel il découlait que les bâtiments comportaient peu de jours (voir p, 400, 401 en annexe 1), ce qui permettait de faire perdurer le paysage des toitures calmes. La CMNS examinait ensuite les particularités de chaque village. Or, à Bardonnex, la majorité des bâtiments n'avaient pas de lucarnes côté rue, en particulier dans l'environnement immédiat du projet querellé, tel que cela ressortait du système d'information du territoire genevois (SITG). Qui plus était, lors du recensement architectural du bâtiment situé pratiquement en face du projet discuté (10, chemin Babel annexe 2), il avait été considéré que les trois lucarnes existantes étaient gênantes et que le bâtiment nuisait beaucoup au mas ancien auquel il était contigu. La CMNS avait ainsi tenu compte du contexte dans lequel s'inscrivait le projet querellé et effectué une pesée des intérêts quant à la proportion de toitures pouvant accueillir une lucarne dès lors qu'en zone 4B protégée, les percements en toiture étaient limités afin de maintenir un paysage des toitures calme et étant précisé que le projet avait déjà bénéficié d'une grande lucarne côté cour et de trois tabatières en un seul registre côté rue.</w:t>
      </w:r>
    </w:p>
    <w:p>
      <w:r>
        <w:rPr>
          <w:b/>
        </w:rPr>
        <w:t>E. 10</w:t>
      </w:r>
    </w:p>
    <w:p>
      <w:r>
        <w:t>Le 16 septembre 2021, l'avocat constitué pour la défense des intérêts du recourant a requis un délai supplémentaire pour répliquer aux observations du département, ce qui lui a été accordé.</w:t>
      </w:r>
    </w:p>
    <w:p>
      <w:r>
        <w:rPr>
          <w:b/>
        </w:rPr>
        <w:t>E. 11</w:t>
      </w:r>
    </w:p>
    <w:p>
      <w:r>
        <w:t>Dans sa réplique du 20 octobre 2021, M. CHRISTEN a conclu, principalement, à l'annulation de la décision querellée et, préalablement, à ce qu'un transport sur</w:t>
      </w:r>
    </w:p>
    <w:p>
      <w:r>
        <w:t>- 5/13 - A/2231/2021 place ainsi que l'audition de Mme DE MARCO et de M. MATTANA soient ordonnés, le tout sous suite de frais et dépens. S'agissant de l'historique du dossier, la CMNS avait également modifié ses exigences initiales sur plusieurs points, à l'issue de dialogues constructifs avec ses mandataires, notamment sur l'ampleur du retrait souhaité du bâtiment par rapport au bâtiment voisin, la hauteur du bâtiment et les percements de façades. Ces dialogues n'avaient cependant jamais porté sur la réalisation d'une lucarne en toiture côté rue et une telle réalisation n'avait, a fortiori, aucunement été mise en perspective par rapport à la lucarne autorisée côté cour. Le projet de lucarne refusé n'avait enfin pas été soumis par une nouvelle mandataire, Mme DE MARCO ayant conduit toutes les discussions au sujet du projet initial avec la CMNS. En l'espèce, ce n'était pas moins de neuf lucarnes, dont certaines plus imposantes que celle projetée, qui étaient visibles à la ronde depuis son immeuble, ce que le tribunal pourrait constater dans le cadre d'un transport sur place et sur les photos panoramiques google map qu'il versait à la procédure. La lucarne litigieuse serait réalisée en se calquant sur le modèle de celle du bâtiment immédiatement voisin et ne nuirait aucunement au caractère architectural du village de Bardonnex et aux qualités du site. Elle permettrait d'optimiser un sous espace au 2ème étage de sa maison et rendrait une image plus en adéquation avec son environnement notamment avec la propriété voisine sur laquelle le bâtiment viendrait s'adosser, raison pour laquelle les autres préavis, dont celui de la commune également obligatoire, étaient tous favorables. Les lucarnes côté cour et côté rue ne seraient enfin pas visibles simultanément sinon d'un point de vue aérien.</w:t>
      </w:r>
    </w:p>
    <w:p>
      <w:r>
        <w:t>Dans ces conditions, force était de retenir que le préavis de la CMNS reposait sur des considérations étrangères aux dispositions légales applicables (changement de mandataire et longueur de la procédure) et/ou fausses (changement de mandataire, historique du dossier et contenu de l'autorisation de construire délivrée dans la DD 1079130/1) et, dès lors, arbitraires. Il en allait de même de la décision du département dès lors qu'elle faisait sien les motifs dudit préavis. Une application correcte du principe de la proportionnalité et de l'égalité de traitement aurait dès lors dû conduire le département à autoriser la lucarne litigieuse. En effet, par rapport aux buts de protection de l'art. 106 LCI, sa lucarne ne se distinguait pas, objectivement, de celles des voisins et on ne comprenait pas en quoi le « calme » de la toiture de sa maison devrait s'apprécier différemment de celui des constructions voisines pour le caractère architectural du site environnant, respectivement en quoi il serait davantage compromis par la lucarne projetée que pour les bâtiments voisins.</w:t>
      </w:r>
    </w:p>
    <w:p>
      <w:r>
        <w:rPr>
          <w:b/>
        </w:rPr>
        <w:t>E. 12</w:t>
      </w:r>
    </w:p>
    <w:p>
      <w:r>
        <w:t>En vertu de l'art. 12 al. 5 LaLAT, les zones protégées constituent des périmètres délimités à l'intérieur d'une zone à bâtir ordinaire ou de développement et qui ont pour but la protection de l'aménagement et du caractère architectural des quartiers et localités considérés. L'art. 28 LaLAT régit les zones « protégées » en disposant que les villages protégés font l'objet de dispositions particulières incluses dans la LCI ; celles-ci figurent aux art. 105 à 107 LCI.</w:t>
      </w:r>
    </w:p>
    <w:p>
      <w:r>
        <w:rPr>
          <w:b/>
        </w:rPr>
        <w:t>E. 13</w:t>
      </w:r>
    </w:p>
    <w:p>
      <w:r>
        <w:t>La LCI définit le régime concret applicable à ces zones, dont le but est la conservation de l'harmonie et de l'identité du secteur, notamment par le biais de règles sur les alignements, les gabarits et les couleurs (cf. Lucien LAZZAROTTO, « La protection du patrimoine », in Bénédict FOËX/Michel HOTTELIER [éd.], La garantie de la propriété à l'aube du XXIème siècle, 2009, p. 113).</w:t>
      </w:r>
    </w:p>
    <w:p>
      <w:r>
        <w:rPr>
          <w:b/>
        </w:rPr>
        <w:t>E. 14</w:t>
      </w:r>
    </w:p>
    <w:p>
      <w:r>
        <w:t>A teneur de l'art. 10A du règlement d'application de la LCI du 27 février 1978 (RCI - L 5 05.01), est réputée complémentaire la demande qui a pour objet la modification d'une autorisation principale en vigueur, pour laquelle l'attestation de conformité n'a pas encore été adressée au département ou pour laquelle le permis d'occuper n'a pas encore été délivré (al. 1).</w:t>
      </w:r>
    </w:p>
    <w:p>
      <w:r>
        <w:rPr>
          <w:b/>
        </w:rPr>
        <w:t>E. 15</w:t>
      </w:r>
    </w:p>
    <w:p>
      <w:r>
        <w:t>En l'occurrence, il n'est pas contesté que la parcelle concernée par le projet litigieux se situe en zone 4B protégée, de sorte que les dispositions spécifiques des art. 105 ss LCI lui sont applicables, en plus des dispositions applicables à la 4ème zone (art. 30 ss LCI).</w:t>
      </w:r>
    </w:p>
    <w:p>
      <w:r>
        <w:t>- 10/13 - A/2231/2021</w:t>
      </w:r>
    </w:p>
    <w:p>
      <w:r>
        <w:rPr>
          <w:b/>
        </w:rPr>
        <w:t>E. 16</w:t>
      </w:r>
    </w:p>
    <w:p>
      <w:r>
        <w:t>En vertu de l'art. 106 al. 1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 le département peut en conséquence, à titre exceptionnel, déroger aux dispositions régissant les distances entre bâtiments, les distances aux limites de propriétés et les vues droites.</w:t>
      </w:r>
    </w:p>
    <w:p>
      <w:r>
        <w:rPr>
          <w:b/>
        </w:rPr>
        <w:t>E. 17</w:t>
      </w:r>
    </w:p>
    <w:p>
      <w:r>
        <w:t>Cette disposition est spécialement applicable aux villages protégés et confère un large pouvoir d'appréciation au département qui peut fixer lui-même les règles applicables aux constructions dans le but de sauvegarder le caractère d'un village et le site environnant, et déroger aux dispositions ordinaires.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du Tribunal fédéral 1C_579/2015 du 4 juillet 2016 consid. 3.2 ; 1C_123/2010 du 25 mai 2010 consid. 3.3 ; ATA/1049/2018du 9 octobre 2018 consid. 6a). Le juge ne peut revoir l'application de cette disposition à laquelle le département procède dans un cas d'espèce qu'en cas d'excès ou d'abus (art. 61 al. 2 LPA ; ATA/1059/2017 du 4 juillet 2017 consid. 6b ; ATA/305/2012 du 15 mai 2012).</w:t>
      </w:r>
    </w:p>
    <w:p>
      <w:r>
        <w:rPr>
          <w:b/>
        </w:rPr>
        <w:t>E. 18</w:t>
      </w:r>
    </w:p>
    <w:p>
      <w:r>
        <w:t>Selon le système prévu par la LCI, les préavis des communes, des départements et organismes intéressés n'ont qu'un caractère consultatif. Le département, qui n'est pas lié par ces préavis, reste libre de s'en écarter pour des motifs pertinents et en raison d'un intérêt public supérieur (art. 3 al. 3 LCI ; ATA/1103/2020du 3 novembre 2020 consid. 5b ; ATA/318/2017 du 21 mars 2017 consid. 8c et les références citées). Néanmoins, lorsque la consultation d'une instance de préavis est imposée par la loi, le préavis de celle-ci a un poids certain dans l'appréciation qu'est amenée à effectuer l'autorité de recours et il convient de ne pas le minimiser (ATA/1274/2017 du 12 septembre 2017). Il n'en demeure pas moins que la délivrance de telles autorisations de construire demeure de la compétence exclusive du département, à qui il appartient de statuer en tenant compte de tous les intérêts en présence (ATA/1103/2020 du 3 novembre 2020 consid. 5b).</w:t>
      </w:r>
    </w:p>
    <w:p>
      <w:r>
        <w:rPr>
          <w:b/>
        </w:rPr>
        <w:t>E. 19</w:t>
      </w:r>
    </w:p>
    <w:p>
      <w:r>
        <w:t>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w:t>
      </w:r>
    </w:p>
    <w:p>
      <w:r>
        <w:t>- 11/13 - A/2231/2021 aux buts de protection fixés par la loi (ATA/724/2020 du 4 août 2020 consid. 3e ; ATA/639/2020 du 30 juin 2020 consid. 4d ; ATA/875/2018 du 28 août 2018 consid. 5b). C'est en particulier le cas lorsque la consultation de la CMNS est imposée par la loi et que le département a suivi son préavis, étant rappelé que cette commission, qui se compose pour une large part de spécialistes, dont notamment des membres d'associations d'importance cantonale, poursuivant par pur idéal des buts de protection du patrimoine, est important et a un poids certain dans l'appréciation qu'est amenée à effectuer l'autorité de recours (ATA/97/2019 du 29 janvier 2019 consid. 4d et les références citées).</w:t>
      </w:r>
    </w:p>
    <w:p>
      <w:r>
        <w:rPr>
          <w:b/>
        </w:rPr>
        <w:t>E. 20</w:t>
      </w:r>
    </w:p>
    <w:p>
      <w:r>
        <w:t>En l'espèce, appliquant à juste titre l'art. 106 al. 1 LCI, le département a décidé de suivre le préavis de la CMNS et de s'écarter de celui de la commune, comme de la position soutenue par le recourant. Les motifs l'ayant amené à le faire ne sont nullement dénués de sens, de sorte qu'ils ne peuvent être qualifiés d'arbitraires. Contrairement aux critiques du recourant, la prise en compte de l'historique du dossier et de l'autorisation initiale délivrée apparait ici tout à fait pertinente et justifiée étant rappelé qu'il découle des préavis successifs de la CMNS et du SMS rendus dans le cadre de la DD 109130/1, que ces derniers ont été particulièrement attentifs à la nécessité de préserver une certaine image du périmètre, demandant des modifications du projet principal autorisé dans le but notamment de réduire au maximum les interventions sur la toiture. Dans son préavis défavorable du 4 mai 2021, la CMNS rappelle ainsi le contexte sensible de la parcelle, l'historique du dossier et demande à ce qu'il soit tenu compte de ce qui avait été autorisé, à savoir une grande lucarne sur cour au profit d'une toiture calme sur rue. Le département relève encore que le souhait d'une toiture calme sur rue et d'une grande lucarne sur cour permet au bâtiment de s'intégrer dans son environnement protégé tout en créant de l'habitabilité dans les combles pour la chambre parentale. Ainsi, notamment, les jours en toiture ont été prévus en fonction de la destination des pièces et la pesée des intérêts en présence a abouti à privilégier une chambre généreuse côté cour et la mise en place de trois tabatières harmonieusement disposées en un seul registre, le plus haut possible, pour les pièces techniques côté rue. Quant au recourant, il entend en réalité substituer sa propre appréciation à celle de l'autorité intimée. Le fait que la CMNS et le département ont procédé à une analyse différente de la sienne ne permet pas de retenir un abus ou un excès de son (large) pouvoir d'appréciation. Comme vu ci-dessus, la prise de décision de l'autorité intimée, forgée sur la base du préavis défavorable du CMNS, ne prête en effet pas le flanc à la critique,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w:t>
      </w:r>
    </w:p>
    <w:p>
      <w:r>
        <w:t>- 12/13 - A/2231/2021 procédé, viole le principe de l'interdiction de l'arbitraire. Par conséquent, le tribunal, qui doit faire preuve de retenue et respecter la latitude de jugement conférée à cette dernière, ne saurait en corriger le résultat en fonction d'une autre conception, même si celle-ci n'est pas dénuée de pertinence, sauf à statuer en opportunité, ce que la loi lui interdit de faire (art. 61 al. 2 LPA). Le recourant tente pour le surplus d'établir des comparaisons s'agissant de la présence d'autres ouvertures sur des toits de bâtiments dans l'environnement immédiat et de l'expression architecturale de ce dernier. A cet égard, il ne met toutefois en évidence aucune situation concrète semblable à la sienne qui aurait fait l'objet d'un traitement différent et les illustrations qu'il propose ne sont pas pertinentes, portant sur des travaux réalisés bien avant celui projeté. Or, le département a rappelé que le percement en toiture devait rester limité en zone 4B protégée afin de maintenir un paysage des toitures calmes, soulignant au surplus que les lucarnes sises chemin Babel étaient gênantes. Il n'apparaît ainsi pas que la décision entreprise contreviendrait au principe d'égalité de traitement. Il sera encore relevé que le préavis de la commune n'est aucunement motivé contrairement à celui de la CMNS et que la position de sa mandataire, qui soutient dans sa lettre d'accompagnement du 29 mars 2021 que l'ajout de la lucarne querellée rendrait une image plus en adéquation de la maison avec son environnement est pour le moins surprenante, quand l'on sait qu'un tel ajout n'était aucunement envisagé par cette même mandataire dans le projet initial (DD 109'130). Il résulte de ce qui précède que le refus que le département a opposé au recourant est conforme au droit et qu'il n'a ainsi ni abusé ni excédé de son pouvoir d'appréciation en refusant l'autorisation complémentaire de construire sollicitée (art. 1 al. 6 LCI).</w:t>
      </w:r>
    </w:p>
    <w:p>
      <w:r>
        <w:rPr>
          <w:b/>
        </w:rPr>
        <w:t>E. 21</w:t>
      </w:r>
    </w:p>
    <w:p>
      <w:r>
        <w:t>Mal fondé, le recours sera dès lors rejeté.</w:t>
      </w:r>
    </w:p>
    <w:p>
      <w:r>
        <w:rPr>
          <w:b/>
        </w:rPr>
        <w:t>E. 22</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w:t>
      </w:r>
    </w:p>
    <w:p>
      <w:r>
        <w:rPr>
          <w:b/>
        </w:rPr>
        <w:t>E. 23</w:t>
      </w:r>
    </w:p>
    <w:p>
      <w:r>
        <w:t>Vu l'issue du litige, aucune indemnité de procédure ne sera allouée (art. 87 al. 2 LPA).</w:t>
      </w:r>
    </w:p>
    <w:p>
      <w:r>
        <w:t>- 13/13 - A/2231/2021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