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JTAPI/123/2025 vom 3. Februar 2025</w:t>
      </w:r>
    </w:p>
    <w:p>
      <w:r>
        <w:t>GE Cour de justice, 2025-02-03, FR</w:t>
      </w:r>
    </w:p>
    <w:p>
      <w:r>
        <w:rPr>
          <w:b/>
        </w:rPr>
        <w:t xml:space="preserve">Quelle: </w:t>
      </w:r>
      <w:r>
        <w:t>https://mcp.opencaselaw.ch/entscheid/ge_gerichte_JTAPI_123_2025</w:t>
      </w:r>
    </w:p>
    <w:p>
      <w:r>
        <w:t>FR: GE_GERICHTE JTAPI/123/2025 du 3 février 2025</w:t>
      </w:r>
    </w:p>
    <w:p>
      <w:r>
        <w:t>IT: GE_GERICHTE JTAPI/123/2025 del 3 febbraio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Lorsque la décision sur réclamation est, comme en l’espèce, une décision d’irrecevabilité, seule cette question peut faire l’objet du recours et non pas la taxation en tant que telle. Dans un tel cas, l’autorité de recours doit en effet examiner si les conditions formelles de la recevabilité de la réclamation (forme écrite, délai, motivation, moyen de preuve, etc.) étaient ou non remplies et, si tel n’est pas le cas, elle doit rejeter le recours déposé devant elle sans examiner elle- même le détail de la taxation (arrêt du Tribunal fédéral 2C_227/2021 du 16 avril 2021 consid. 2.2).</w:t>
      </w:r>
    </w:p>
    <w:p>
      <w:r>
        <w:rPr>
          <w:b/>
        </w:rPr>
        <w:t>E. 4</w:t>
      </w:r>
    </w:p>
    <w:p>
      <w:r>
        <w:t>Au vu de cette jurisprudence, il convient uniquement de déterminer si c’est à bon droit que l’AFC-GE a estimé que la réclamation du 5 juin 2024 a été déposée tardivement. Il s’ensuit que le tribunal n’a pas à examiner les griefs de la recourante.</w:t>
      </w:r>
    </w:p>
    <w:p>
      <w:r>
        <w:rPr>
          <w:b/>
        </w:rPr>
        <w:t>E. 5</w:t>
      </w:r>
    </w:p>
    <w:p>
      <w:r>
        <w:t>Aux termes des art. 132 al. 1 LIFD et 39 al. 1 LPFisc,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w:t>
      </w:r>
    </w:p>
    <w:p>
      <w:r>
        <w:rPr>
          <w:b/>
        </w:rPr>
        <w:t>E. 6</w:t>
      </w:r>
    </w:p>
    <w:p>
      <w:r>
        <w:t>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correspondances ultérieur ou le comportement du destinataire (ATF 142 IV 125 consid. 4.3). Selon la jurisprudence, en cas d’envoi de décisions sous pli simple, comme en l’espèce, on admet que la décision entreprise a été réceptionnée quelques jours après son expédition (ATA/1373/2018 du 18 décembre 2018 consid. 7c et les références citées).</w:t>
      </w:r>
    </w:p>
    <w:p>
      <w:r>
        <w:t>- 4/7 - A/2509/2024 Il appartient à l’administré qui réclame ou qui recourt d’établir qu’il l’a fait dans le respect du délai légal (ATA/899/2015 du 1er septembre 2015 ; ATA/243/2015 du 3 mars 2015; cf. aussi Pierre MOOR/Etienne POLTIER, Droit administratif, vol. II, 3ème éd., 2011, n° 2.2.6.7 p. 304).</w:t>
      </w:r>
    </w:p>
    <w:p>
      <w:r>
        <w:rPr>
          <w:b/>
        </w:rPr>
        <w:t>E. 7</w:t>
      </w:r>
    </w:p>
    <w:p>
      <w:r>
        <w:t>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Un délai inobservé est restitué si la personne contribuable exécute l’acte omis dans les 30 jours qui suivent la disparition de l’empêchement et prouve qu’elle a été empêchée d’agir en temps utile pour des motifs sérieux (art. 21 al. 3 LPFisc).</w:t>
      </w:r>
    </w:p>
    <w:p>
      <w:r>
        <w:rPr>
          <w:b/>
        </w:rPr>
        <w:t>E. 8</w:t>
      </w:r>
    </w:p>
    <w:p>
      <w:r>
        <w:t>Les délais fixés par la loi sont des dispositions impératives de droit public. Ils ne sont en principe pas susceptibles d’être prolongés, restitués ou suspendus, si ce n’est par le législateur lui-même. Ainsi, celui qui n’agit pas dans le délai prescrit est forclos (ATA/1297/2024 du 5 novembre 2024 consid. 2.4). Le strict respect des délais légaux se justifie pour des raisons d’égalité de traitement et par un intérêt public lié à une bonne administration de la justice et à la sécurité du droit (ATF 142 V 152 consid. 4.2 ; arrêt du Tribunal fédéral 8D_6/2016 du 1er juin 2017 consid. 3.2) et n’est pas constitutif de formalisme excessif (ATF 125 V 65 consid. 1 ; arrêt du Tribunal fédéral 6B_811/2022 du 15 septembre 2022 consid. 2).</w:t>
      </w:r>
    </w:p>
    <w:p>
      <w:r>
        <w:rPr>
          <w:b/>
        </w:rPr>
        <w:t>E. 9</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 ATF 142 V 152 consid. 4.2). La restitution du délai suppose que le contribuable et son éventuel représentant n’ont pas respecté le délai légal en raison d’un empêchement imprévisible, dont la survenance ne leur est pas imputable à faute (arrêts du Tribunal fédéral 2C_737/ 2018 du 20 juin 2019 consid. 4.1 non publié aux ATF 145 II 201 ;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(ATA/633/2022 du 14 juin 2022 consid. 2a et les références citées). Les cas de force majeure, soit les événements extraordinaires et imprévisibles qui surviennent en dehors de la sphère d’activité de l’intéressé et qui s’imposent à lui de l’extérieur de façon irrésistible, demeurent aussi réservés. Pour établir</w:t>
      </w:r>
    </w:p>
    <w:p>
      <w:r>
        <w:t>- 5/7 - A/2509/2024 l’existence d’un cas de force majeure, le fardeau de la preuve incombe à l’assujetti (ATA/461/2018 du 8 mai 2018 ; ATA/328/2018 du 10 avril 2018).</w:t>
      </w:r>
    </w:p>
    <w:p>
      <w:r>
        <w:rPr>
          <w:b/>
        </w:rPr>
        <w:t>E. 10</w:t>
      </w:r>
    </w:p>
    <w:p>
      <w:r>
        <w:t>En l’occurrence, aucun élément ne permet de connaître la date de la notification des bordereaux des 12 mai 2021, 27 juillet 2022 et 21 juillet 2023, ceux-ci ayant été envoyés à la recourante par pli simple. Cela étant, cette dernière n’indiquant dans aucune de ses écritures à quelle date elle a reçu ces bordereaux, ni ne contestant qu’ils lui ont été communiqués, il convient de retenir qu’ils lui ont été notifiés dans les quelques jours qui ont suivi ces dates. Or, elle n’a réclamé qu’en juin 2024, soit largement hors du délai légal de 30 jours. Pour le surplus, la recourante ne démontre pas l’existence d’un motif sérieux, au sens des art. 133 al. 3 LIFD et 41 al. 3 LPFisc, ou la survenance d’un cas de force majeure, qui l’auraient concrètement empêché d’agir en temps utile ou de désigner un tiers pour s’en charger à sa place. En conséquence, la réclamation du 5 juin 2024 doit être déclarée irrecevable.</w:t>
      </w:r>
    </w:p>
    <w:p>
      <w:r>
        <w:rPr>
          <w:b/>
        </w:rPr>
        <w:t>E. 11</w:t>
      </w:r>
    </w:p>
    <w:p>
      <w:r>
        <w:t>Aux termes des art. 55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Les art. 55 al. 2 LPFisc et 147 al. 2LIFD précisent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w:t>
      </w:r>
    </w:p>
    <w:p>
      <w:r>
        <w:t>- 6/7 - A/2509/2024</w:t>
      </w:r>
    </w:p>
    <w:p>
      <w:r>
        <w:rPr>
          <w:b/>
        </w:rPr>
        <w:t>E. 12</w:t>
      </w:r>
    </w:p>
    <w:p>
      <w:r>
        <w:t>En l’espèce, force est de constater, avec l’AFC-GE, que les conditions d’entrée en matière sur une reconsidération ou une révision des taxations litigieuses ne sont manifestement pas remplies, dès lors que la recourante invoque des motifs de fond qu’elle aurait déjà pu faire valoir au cours de la procédure ordinaire de réclamation, si elle avait fait preuve de toute la diligence qui pouvait raisonnablement être exigée d’elle, ce qu’elle n’a pas fait. Elle ne peut dès lors pas le faire par le biais de la voie extraordinaire de la révision, cette procédure étant réservée exclusivement aux cas où des éléments n’ont pas pu être invoqués dans le cadre de la procédure ordinaire.</w:t>
      </w:r>
    </w:p>
    <w:p>
      <w:r>
        <w:rPr>
          <w:b/>
        </w:rPr>
        <w:t>E. 13</w:t>
      </w:r>
    </w:p>
    <w:p>
      <w:r>
        <w:t>Ne reposant sur aucun motif valable, le recours doit être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des recours. Aucune indemnité de procédure ne sera allouée (art. 87 al. 2 LPA).</w:t>
      </w:r>
    </w:p>
    <w:p>
      <w:r>
        <w:t>- 7/7 - A/2509/2024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