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JTAPI/1236/2024 vom 24. April 2024</w:t>
      </w:r>
    </w:p>
    <w:p>
      <w:r>
        <w:t>GE Cour de justice, 2024-04-24, FR</w:t>
      </w:r>
    </w:p>
    <w:p>
      <w:r>
        <w:rPr>
          <w:b/>
        </w:rPr>
        <w:t xml:space="preserve">Quelle: </w:t>
      </w:r>
      <w:r>
        <w:t>https://mcp.opencaselaw.ch/entscheid/ge_gerichte_JTAPI_1236_2024</w:t>
      </w:r>
    </w:p>
    <w:p>
      <w:r>
        <w:t>FR: GE_GERICHTE JTAPI/1236/2024 du 24 avril 2024</w:t>
      </w:r>
    </w:p>
    <w:p>
      <w:r>
        <w:t>IT: GE_GERICHTE JTAPI/1236/2024 del 24 aprile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Mme A______ conteste la validité de la décision de l'OCV du 24 avril 2024 prononçant un retrait de permis d'une durée minimale de cinq ans.</w:t>
      </w:r>
    </w:p>
    <w:p>
      <w:r>
        <w:rPr>
          <w:b/>
        </w:rPr>
        <w:t>E. 4</w:t>
      </w:r>
    </w:p>
    <w:p>
      <w:r>
        <w:t>Selon l'art. 16c al. 2 let. e LCR, après une infraction grave, le permis de conduire est retiré définitivement si, au cours des cinq années précédentes, le permis a été retiré en application, notamment, de l'art. 16b al. 2 let. e LCR (retrait pour une durée indéterminée, mais pour deux ans au minimum si, au cours des dix années précédentes, le permis a été retiré à trois reprises en raison d'infractions qualifiées de moyennement graves au moins).</w:t>
      </w:r>
    </w:p>
    <w:p>
      <w:r>
        <w:rPr>
          <w:b/>
        </w:rPr>
        <w:t>E. 5</w:t>
      </w:r>
    </w:p>
    <w:p>
      <w:r>
        <w:t>Commet une infraction grave la personne qui conduit un véhicule automobile alors que le permis de conduire lui a été retiré (art. 16c al. 1 let. f LCR).</w:t>
      </w:r>
    </w:p>
    <w:p>
      <w:r>
        <w:rPr>
          <w:b/>
        </w:rPr>
        <w:t>E. 6</w:t>
      </w:r>
    </w:p>
    <w:p>
      <w:r>
        <w:t>En conduisant sans permis le 27 décembre 2023, la recourante a ainsi commis une faute grave. Cette faute étant consécutive à un retrait de permis prononcé le</w:t>
      </w:r>
    </w:p>
    <w:p>
      <w:r>
        <w:t>- 5/6 - A/1791/2024 26 février 2021 en application de l'art. 16b al. 2 let. e LCR, la décision litigieuse est conforme au droit, sous cet aspect.</w:t>
      </w:r>
    </w:p>
    <w:p>
      <w:r>
        <w:rPr>
          <w:b/>
        </w:rPr>
        <w:t>E. 7</w:t>
      </w:r>
    </w:p>
    <w:p>
      <w:r>
        <w:t>La recourante invoque d'importants besoins pour s'occuper de son fils autiste et de personnes âgées ou en difficulté pour se déplacer.</w:t>
      </w:r>
    </w:p>
    <w:p>
      <w:r>
        <w:rPr>
          <w:b/>
        </w:rPr>
        <w:t>E. 8</w:t>
      </w:r>
    </w:p>
    <w:p>
      <w:r>
        <w:t>Or, le texte de la loi, ne laisse aucune marge de manœuvre à l'autorité administrative. En effet, la durée minimale du retrait – en l'espèce le retrait définitif (atténué par la possibilité de restitution offerte après cinq ans par la loi ; art. 17 al. 1 et 23 al. 3 LCR) – est incompressible et ne peut être réduite. Le Tribunal fédéral a déjà rappelé que les durées minimales prescrites étaient incompressibles et cela même pour les personnes dont les besoins professionnels de disposer d’un permis de conduire étaient avérés (ATF 132 II 234 consid. 3.2 ; Arrêts du Tribunal fédéral 1C_492/2020 du 18 novembre 2020 consid. 3.3 ; 1C_204/2017 du 18 juillet 2017 consid. 2.6 ; 1C_498/2012 du 8 janvier 2013 ; 1C_216/2009 du 14 septembre 2009 consid. 5.2 et 6 ; ATA/306/2013 du 14 mai 2013 consid. 4b).</w:t>
      </w:r>
    </w:p>
    <w:p>
      <w:r>
        <w:rPr>
          <w:b/>
        </w:rPr>
        <w:t>E. 9</w:t>
      </w:r>
    </w:p>
    <w:p>
      <w:r>
        <w:t>Ce grief sera ainsi écarté.</w:t>
      </w:r>
    </w:p>
    <w:p>
      <w:r>
        <w:rPr>
          <w:b/>
        </w:rPr>
        <w:t>E. 10</w:t>
      </w:r>
    </w:p>
    <w:p>
      <w:r>
        <w:t>Partant, le recours sera rejeté.</w:t>
      </w:r>
    </w:p>
    <w:p>
      <w:r>
        <w:rPr>
          <w:b/>
        </w:rPr>
        <w:t>E. 11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t>- 6/6 - A/1791/2024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