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JTAPI/1235/2021 vom 7. Dezember 2021</w:t>
      </w:r>
    </w:p>
    <w:p>
      <w:r>
        <w:t>GE Cour de justice, 2021-12-07, FR</w:t>
      </w:r>
    </w:p>
    <w:p>
      <w:r>
        <w:rPr>
          <w:b/>
        </w:rPr>
        <w:t xml:space="preserve">Quelle: </w:t>
      </w:r>
      <w:r>
        <w:t>https://mcp.opencaselaw.ch/entscheid/ge_gerichte_JTAPI_1235_2021</w:t>
      </w:r>
    </w:p>
    <w:p>
      <w:r>
        <w:t>FR: GE_GERICHTE JTAPI/1235/2021 du 7 décembre 2021</w:t>
      </w:r>
    </w:p>
    <w:p>
      <w:r>
        <w:t>IT: GE_GERICHTE JTAPI/1235/2021 del 7 dicembre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demande l'annulation de la décision querellée et à ce qu’une autorisation de séjour lui soit octroyée.</w:t>
      </w:r>
    </w:p>
    <w:p>
      <w:r>
        <w:t>- 6/15 - A/2846/2021</w:t>
      </w:r>
    </w:p>
    <w:p>
      <w:r>
        <w:rPr>
          <w:b/>
        </w:rPr>
        <w:t>E. 6</w:t>
      </w:r>
    </w:p>
    <w:p>
      <w:r>
        <w:t>L'opération Papyrus invoquée par le recourant est un processus de régularisation des personnes séjournant à Genève sans titre de séjour, lancé publiquement en février 2017, pour une période de deux ans, par les autorités exécutives cantonales genevoises « dans le strict respect du cadre légal en vigueur (art. 30 al.1 let. b LEI et 31 OASA) » (cf. communiqué de presse du 21 février 2017 accessible sur Internet à l'adresse suivante : https://www.ge.ch/actualite/operation-papyrus- presentee-aux-medias-21-02-2017).</w:t>
      </w:r>
    </w:p>
    <w:p>
      <w:r>
        <w:rPr>
          <w:b/>
        </w:rPr>
        <w:t>E. 7</w:t>
      </w:r>
    </w:p>
    <w:p>
      <w:r>
        <w:t>Elle a pris fin le 31 décembre 2018 (« Point de situation intermédiaire relatif à la clôture du projet Papyrus » publié par le Conseil d'État en date du 4 mars 2019, cf. https://www.ge.ch/dossier/operation-papyrus).</w:t>
      </w:r>
    </w:p>
    <w:p>
      <w:r>
        <w:rPr>
          <w:b/>
        </w:rPr>
        <w:t>E. 8</w:t>
      </w:r>
    </w:p>
    <w:p>
      <w:r>
        <w:t>Les critères objectifs et cumulatifs permettant aux personnes concernées de demander la légalisation de leur séjour selon ce programme étaient les suivants : une intégration réussie (niveau A2 de français du cadre européen commun de référence pour les langues et scolarisation des enfants notamment) ; une absence de condamnation pénale ; une indépendance financière complète ; un séjour continu de cinq ans (pour les familles avec enfants scolarisés) ou de dix ans pour les autres catégories, à savoir les couples sans enfants et les célibataires.</w:t>
      </w:r>
    </w:p>
    <w:p>
      <w:r>
        <w:rPr>
          <w:b/>
        </w:rPr>
        <w:t>E. 9</w:t>
      </w:r>
    </w:p>
    <w:p>
      <w:r>
        <w:t>S'agissant des justificatifs de séjour à Genève, un document par année de séjour était exigé pour les preuves de catégories A (à savoir, extraits AVS, attestations de l'administration fiscale, de scolarité ou de suivi d'un cours de langue à Genève, fiches de salaire, contrats de travail ou de bail, polices d'assurance, abonnements TPG nominatifs, extraits de compte bancaires ou postaux, factures nominatives de médecin, de téléphone ou des SIG). Pour les preuves de catégories B (à savoir, abonnements de fitness, témoignages « engageants » notamment d'enseignants, d'anciens employeurs ou de médecins ou des documents attestant de différentes démarches) trois à cinq documents par année de séjour étaient exigés.</w:t>
      </w:r>
    </w:p>
    <w:p>
      <w:r>
        <w:rPr>
          <w:b/>
        </w:rPr>
        <w:t>E. 10</w:t>
      </w:r>
    </w:p>
    <w:p>
      <w:r>
        <w:t>Le Conseil fédéral a précisé que, dans le cadre de ce projet pilote, le SEM avait procédé à une concrétisation des critères légaux en vigueur pour l'examen des cas individuels d'extrême gravité dans le strict respect des dispositions légales et de ses directives internes. Il ne s'agissait donc pas d'un nouveau droit de séjour en Suisse, ni d'une nouvelle pratique. Une personne sans droit de séjour ne se voyait pas délivrer une autorisation de séjour pour cas de rigueur simplement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 ses enfants (ATA/257/2020 du 3 mars 2020 consid. 7a; ATA/1234/2019 du 13 août 2019 consid. 6 ; ATA/1000/2019 du 11 juin 2019 consid. 5b et les arrêts cités).</w:t>
      </w:r>
    </w:p>
    <w:p>
      <w:r>
        <w:t>- 7/15 - A/2846/2021</w:t>
      </w:r>
    </w:p>
    <w:p>
      <w:r>
        <w:rPr>
          <w:b/>
        </w:rPr>
        <w:t>E. 11</w:t>
      </w:r>
    </w:p>
    <w:p>
      <w:r>
        <w:t>Dans l'hypothèse où les conditions de l'opération Papyrus susmentionnées ne seraient pas remplies, le dossier devrait encore être examiné sous l'angle du cas de rigueur.</w:t>
      </w:r>
    </w:p>
    <w:p>
      <w:r>
        <w:rPr>
          <w:b/>
        </w:rPr>
        <w:t>E. 12</w:t>
      </w:r>
    </w:p>
    <w:p>
      <w:r>
        <w:t>Selon l'art. 30 al. 1 let. b LEI, il est possible de déroger aux conditions d'admission d'un étranger en Suisse pour tenir compte des cas individuels d'extrême gravité.</w:t>
      </w:r>
    </w:p>
    <w:p>
      <w:r>
        <w:rPr>
          <w:b/>
        </w:rPr>
        <w:t>E. 13</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(ATF 123 II 125 consid. 5b/dd ; arrêt du Tribunal fédéral 2A.25/2004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w:t>
      </w:r>
    </w:p>
    <w:p>
      <w:r>
        <w:rPr>
          <w:b/>
        </w:rPr>
        <w:t>E. 14</w:t>
      </w:r>
    </w:p>
    <w:p>
      <w:r>
        <w:t>L'art. 31 al. 1 OASA prévoit que pour apprécier l’existence d’un cas individuel d’extrême gravité, il convient de tenir compte notamment de l'intégration du requérant (let. a), de sa situation familiale (let. c), de sa situation financière (let. d), de la durée de sa présence en Suisse (let. e), de son état de santé (let. f), ainsi que de ses possibilités de réintégration dans son État de provenance (let. g).</w:t>
      </w:r>
    </w:p>
    <w:p>
      <w:r>
        <w:rPr>
          <w:b/>
        </w:rPr>
        <w:t>E. 15</w:t>
      </w:r>
    </w:p>
    <w:p>
      <w:r>
        <w:t>Le critère de l'intégration du requérant se base sur le respect de la sécurité et de l'ordre public, le respect des valeurs de la Constitution, les compétences linguistiques, la participation à la vie économique ou l'acquisition d'une formation (art. 58a LEI).</w:t>
      </w:r>
    </w:p>
    <w:p>
      <w:r>
        <w:rPr>
          <w:b/>
        </w:rPr>
        <w:t>E. 16</w:t>
      </w:r>
    </w:p>
    <w:p>
      <w:r>
        <w:t>Selon les directives et commentaires du SEM (domaine des étrangers, octobre 2013, état au 1er janvier 2021, p. 41 ch. 3.3.1 ; ci-après : Directives LEI), les</w:t>
      </w:r>
    </w:p>
    <w:p>
      <w:r>
        <w:t>- 8/15 - A/2846/2021 critères d’intégration (art.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w:t>
      </w:r>
    </w:p>
    <w:p>
      <w:r>
        <w:rPr>
          <w:b/>
        </w:rPr>
        <w:t>E. 17</w:t>
      </w:r>
    </w:p>
    <w:p>
      <w:r>
        <w:t>Les critères de l'art. 58a LEI doivent impérativement être respectés, mais ne sont toutefois pas exhaustifs (ATF 137 III consid. 3.2.3 ; 137 II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18</w:t>
      </w:r>
    </w:p>
    <w:p>
      <w:r>
        <w:t>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ATA/353/2019 du 2 avril 2019 consid. 5c ; ATA/38/2019 du 15 janvier 2019 consid. 4c ; cf. aussi arrêts du Tribunal fédéral 2C_602/2019 du 25 juin 2019 consid. 3.3 ; 2C_222/2017 du 29 novembre 2017 consid. 1.1). L'autorité doit néanmoins procéder à l'examen de l'ensemble des circonstances du cas d'espèce pour déterminer l'existence d'un cas de rigueur (ATF 128 II 200 consid. 4 ; 124 II 110 consid. 2 ; ATA/38/2019 précité consid. 4c ; Directives SEM, ch. 5.6).</w:t>
      </w:r>
    </w:p>
    <w:p>
      <w:r>
        <w:rPr>
          <w:b/>
        </w:rPr>
        <w:t>E. 19</w:t>
      </w:r>
    </w:p>
    <w:p>
      <w:r>
        <w:t>La reconnaissance de l'existence d'un cas individuel d'extrême gravité implique que les conditions de vie et d'existence de l'étranger doivent être mises en cause de manière accrue en comparaison avec celles applicables à la moyenne des étrangers.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123 II 125 consid. 2 ; arrêt du Tribunal administratif fédéral F-1714/2016 du 17 septembre 2019 consid. 5.2 et références citées).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w:t>
      </w:r>
    </w:p>
    <w:p>
      <w:r>
        <w:t>- 9/15 - A/2846/2021 subsister de manière indépendante et doive recourir aux prestations de l'aide sociale ou des liens conservés avec le pays d'origine, par exemple sur le plan familial, susceptibles de faciliter sa réintégration (arrêt du Tribunal fédéral 2A.543/2001 du 25 avril 2020 consid. 5.2 ; arrêts du Tribunal administratif fédéral F-6322/2016 du 1er mai 2018 consid. 4.6 et les références citées ; ATA/353/2019 précité consid. 5d ; ATA/38/2019 précité consid. 4d).</w:t>
      </w:r>
    </w:p>
    <w:p>
      <w:r>
        <w:rPr>
          <w:b/>
        </w:rPr>
        <w:t>E. 20</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w:t>
      </w:r>
    </w:p>
    <w:p>
      <w:r>
        <w:rPr>
          <w:b/>
        </w:rPr>
        <w:t>E. 21</w:t>
      </w:r>
    </w:p>
    <w:p>
      <w:r>
        <w:t>L'intégration socio-culturelle n'est en principe pas susceptible de justifier à elle seule l'octroi d'une autorisation de séjour pour cas de rigueur. Néanmoins, cet aspect peut revêtir une importance dans la pesée générale des intérêts (ATAF C- 541/2015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C- 2379/2013 du 14 décembre 2015 consid. 9.2 ; C-5235/2013 du 10 décembre 2015 consid. 8.3 in fine ; Actualité du droit des étrangers, 2016, vol. I, p. 10).</w:t>
      </w:r>
    </w:p>
    <w:p>
      <w:r>
        <w:rPr>
          <w:b/>
        </w:rPr>
        <w:t>E. 22</w:t>
      </w:r>
    </w:p>
    <w:p>
      <w:r>
        <w:t>De plus, il ne faut pas non plus perdre de vue qu’il est parfaitement normal qu'une personne ayant effectué un séjour prolongé en Suisse s'y soit créée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w:t>
      </w:r>
    </w:p>
    <w:p>
      <w:r>
        <w:rPr>
          <w:b/>
        </w:rPr>
        <w:t>E. 24</w:t>
      </w:r>
    </w:p>
    <w:p>
      <w:r>
        <w:t>Il convient par conséquent d'examiner le bien-fondé de la décision litigieuse sous l'angle des dispositions légales relatives au cas individuel d'extrême gravité, telles qu'elles ont été rappelées plus haut.</w:t>
      </w:r>
    </w:p>
    <w:p>
      <w:r>
        <w:t>- 11/15 - A/2846/2021 En l'occurrence, et au vu de ce qui vient d’être dit, il doit être reconnu que le recourant est en Suisse depuis 2016. Par conséquent, au jour de la décision litigieuse, son séjour en Suisse était d'environ cinq ans. Selon la jurisprudence et les principes rappelés plus haut, il ne s'agit pas d'un séjour suffisamment long pour considérer que le recourant aurait établi avec la Suisse des liens si profonds qu'un retour dans son pays constituerait un véritable déracinement. Il est important de rappeler à cet égard que ce n'est pas le point de vue subjectif du recourant qui doit être pris en considération, mais l'élément objectif que constitue la durée de son séjour en Suisse. Lorsque cette durée n'est pas particulièrement longue, il est encore possible de retenir, selon ce qui a été rappelé plus haut, que le départ de Suisse de la personne concernée reviendrait malgré tout pour elle à un véritable déracinement, dans les cas où son intégration professionnelle ou sociale peut être considérée comme tout à fait exceptionnelle. Tel n'est pas le cas en l'occurrence. Bien qu'il n'ait pas de dettes, n’ait jamais sollicité l’aide de l’Hospice général, soit titulaire d'une attestation de connaissance de la langue française niveau A2, et ai eu diverses activités professionnelles comme plâtrier, plaquiste, manutentionnaire ou chauffeur/livreur - bénéficiant actuellement de prestations de la SUVA suit à un accident en 2019 - ces éléments ne sont pas constitutifs d’une intégration exceptionnelle au sens de la jurisprudence. Il n’apparaît en outre pas qu’il se soit investi d'une manière particulière dans la vie associative ou culturelle genevoise durant son séjour, ayant semble-t-il simplement participé à quelques évènements en 2012 et 2017 organisés par G______, sans précision de sa fonction et de son investissement. Par ailleurs, le recourant, qui a travaillé en qualité notamment de plâtrier et plaquiste, et qui est actuellement en stage dans une fiduciaire suite à ses problèmes à une épaule, ne peut se prévaloir d’avoir acquis en Suisse des connaissances ou des qualifications si spécifiques qu'il ne pourrait les utiliser dans sa patrie. Il n’a pas non plus fait preuve d'une ascension professionnelle remarquable au point de justifier la poursuite de son séjour en Suisse. Sur le plan médical, le recourant souffre d’une entorse acromio-claviculaire de l’épaule droite suite à un accident professionnel ; dans un rapport du 25 janvier 2021, le médecin qui suit le recourant indique des douleurs persistantes et une impotence fonctionnelle malgré les traitements entrepris. Un séjour en rééducation était proposé. Cette atteinte à sa santé l’empêchait d’exercer son activité professionnelle, raison pour laquelle il était au bénéfice de prestation de la SUVA. Or, le dossier ne comporte aucune attestation médicale portant de l’évolution de ses douleurs, ni quel traitement est en cours ou serait nécessaire, étant souligné qu’il a fait l’objet d’une autorisation de travailler en tant que stagiaire auprès d’une fiduciaire, ce qui démontre qu’il a recouvré, en tout cas en partie, sa santé et dès lors une certaine capacité professionnelle. Par ailleurs, si tant est qu’il dut</w:t>
      </w:r>
    </w:p>
    <w:p>
      <w:r>
        <w:t>- 12/15 - A/2846/2021 encore recevoir des soins - ce qui ne ressort aucunement du dossier, les indications médicales contenus dans le dossier montrent que des soins de physiothérapie sont accessibles au Kosovo, et qu’il est possible de se procurer des médicaments analgésiques. Dans ces conditions, et sans vouloir minimiser les problèmes de santé dont souffre le recourant, il y a lieu de considérer que ceux-ci ne sauraient justifier à eux seuls la reconnaissance d’un cas de rigueur au sens des dispositions précitées. Enfin, bien que l'on puisse comprendre son souhait de demeurer en Suisse, où il bénéficie sans doute de meilleures opportunités professionnelles et économiques, il n'explique pas en quoi ses conditions d'existence, à son retour dans son pays, seraient soumises à des difficultés nettement supérieures à celles de la population restée sur place. Encore jeune et ayant sans doute possible une grande partie de sa famille présente au Kosovo, vu les différentes demandes de visas sollicitées entre 2018 et 2021 pour raison familiale, il pourra bénéficier de toute l’aide nécessaire pour se réintégrer dans les meilleures conditions.</w:t>
      </w:r>
    </w:p>
    <w:p>
      <w:r>
        <w:rPr>
          <w:b/>
        </w:rPr>
        <w:t>E. 25</w:t>
      </w:r>
    </w:p>
    <w:p>
      <w:r>
        <w:t>En conclusion, au vu de l'examen circonstancié du dossier et des pièces versées à la procédure, le tribunal constate que le recourant ne satisfait pas aux conditions strictes requises pour une demande de régularisation dans le cadre de l'opération Papyrus ni à celles restrictives exigées prévues par les art. 30 al. 1 let. b LEI et 31 al. 1 OASA pour la reconnaissance d'un cas de rigueur.</w:t>
      </w:r>
    </w:p>
    <w:p>
      <w:r>
        <w:rPr>
          <w:b/>
        </w:rPr>
        <w:t>E. 26</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cf. aussi not. ATA/87/2021 du 26 janvier 2021 consid. 5a; ATA/1798/2019 du 10 décembre 2019 consid. 6 ; ATA/1694/2019 du 19 novembre 2019 consid. 6).</w:t>
      </w:r>
    </w:p>
    <w:p>
      <w:r>
        <w:rPr>
          <w:b/>
        </w:rPr>
        <w:t>E. 27</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- 13/15 - A/2846/2021</w:t>
      </w:r>
    </w:p>
    <w:p>
      <w:r>
        <w:rPr>
          <w:b/>
        </w:rPr>
        <w:t>E. 28</w:t>
      </w:r>
    </w:p>
    <w:p>
      <w:r>
        <w:t>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29</w:t>
      </w:r>
    </w:p>
    <w:p>
      <w:r>
        <w:t>En l'espèce, dès lors que l'autorisation de séjour sollicitée par le recourant lui a été refusée, l'OCPM devait ordonner son renvoi de Suisse en application de l'art. 64 al. 1 let. c LEI, aucun élément ne laissant pour le surplus supposer que l'exécution de cette mesure ne serait pas possible, pas licite ou qu'elle ne pourrait être raisonnablement exigée. On relèvera en particulier que le recourant n’a pas démontré que ses problèmes de santé seraient d'une gravité telle qu'un retour au Kosovo apparaîtrait d'un point de vue médical insoutenable. De même, rien au dossier ne permet de retenir que le recourant ne pourrait pas avoir accès aux soins médicaux dont il aurait encore besoin - si tant est que ce soit encore le cas -, les traitements de physiothérapie dont il a en dernier bénéficié étant disponibles dans son pays d’origine, (ATAF F-3505/2018 du 20 novembre 2018 consid. 3.3.2 et D- 3732/2012 du 17 avril 2013 consid. 5.3.2, où le Tribunal administratif fédéral a retenu que le suivi orthopédique et les traitements de physiothérapie sont disponibles au Kosovo). Enfin, il sera rappelé que le fait que la qualité des soins au Kosovo ne soit pas la même qu'en Suisse ne saurait être considéré comme un obstacle insurmontable au retour dans le pays d'origine (arrêt du Tribunal fédéral 2C-193/2020 du 18 août 2020 consid. 4.2 et les références citées).</w:t>
      </w:r>
    </w:p>
    <w:p>
      <w:r>
        <w:rPr>
          <w:b/>
        </w:rPr>
        <w:t>E. 30</w:t>
      </w:r>
    </w:p>
    <w:p>
      <w:r>
        <w:t>Au vu de ce qui précède, il apparaît que la décision litigieuse est parfaitement fondée et que le recours doit donc être rejeté.</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- 14/15 - A/2846/2021</w:t>
      </w:r>
    </w:p>
    <w:p>
      <w:r>
        <w:rPr>
          <w:b/>
        </w:rPr>
        <w:t>E. 32</w:t>
      </w:r>
    </w:p>
    <w:p>
      <w:r>
        <w:t>En vertu des art. 89 al. 2 et 111 al. 2 de la loi sur le Tribunal fédéral du 17 juin 2005 (LTF - RS 173.110), le présent jugement sera communiqué au secrétariat d'État aux migrations.</w:t>
      </w:r>
    </w:p>
    <w:p>
      <w:r>
        <w:t>- 15/15 - A/2846/2021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