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JTAPI/1232/2024 vom 16. Dezember 2024</w:t>
      </w:r>
    </w:p>
    <w:p>
      <w:r>
        <w:t>GE Cour de justice, 2024-12-16, FR</w:t>
      </w:r>
    </w:p>
    <w:p>
      <w:r>
        <w:rPr>
          <w:b/>
        </w:rPr>
        <w:t xml:space="preserve">Quelle: </w:t>
      </w:r>
      <w:r>
        <w:t>https://mcp.opencaselaw.ch/entscheid/ge_gerichte_JTAPI_1232_2024</w:t>
      </w:r>
    </w:p>
    <w:p>
      <w:r>
        <w:t>FR: GE_GERICHTE JTAPI/1232/2024 du 16 décembre 2024</w:t>
      </w:r>
    </w:p>
    <w:p>
      <w:r>
        <w:t>IT: GE_GERICHTE JTAPI/1232/2024 del 16 dicembre 2024</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LPFisc ; art. 140 LIFD).</w:t>
      </w:r>
    </w:p>
    <w:p>
      <w:r>
        <w:rPr>
          <w:b/>
        </w:rPr>
        <w:t>E. 2</w:t>
      </w:r>
    </w:p>
    <w:p>
      <w:r>
        <w:t>Interjeté en temps utile et dans les formes prescrites devant la juridiction compétente, le recours est recevable au sens des art. 49 LPFisc et 140 LIFD.</w:t>
      </w:r>
    </w:p>
    <w:p>
      <w:r>
        <w:rPr>
          <w:b/>
        </w:rPr>
        <w:t>E. 3</w:t>
      </w:r>
    </w:p>
    <w:p>
      <w:r>
        <w:t>Le litige porte sur la question de savoir si la demande de rectification du barème de l’IS pour charge d’enfant majeur doit être déposée dans le délai échéant le 31 mars suivant l’année fiscale concernée.</w:t>
      </w:r>
    </w:p>
    <w:p>
      <w:r>
        <w:rPr>
          <w:b/>
        </w:rPr>
        <w:t>E. 4</w:t>
      </w:r>
    </w:p>
    <w:p>
      <w:r>
        <w:t>Aux termes de l’art. 137 LIFD, le contribuable peut, jusqu’au 31 mars de l’année fiscale qui suit l’échéance de la prestation, exiger que l’autorité de taxation rende une décision relative à l’existence et l’étendue de l’assujettissement, en particulier s’il conteste l’impôt à la source indiqué sur l’attestation (al. 1 let. a). En droit cantonal également, selon l’art. 38E al. 1 LPFisc, le contribuable peut, jusqu’au 31 mars de l’année fiscale qui suit l’échéance de la prestation, exiger que l’autorité fiscale rende une décision relative à l’existence et l’étendue de l’assujettissement : a) s’il conteste l’impôt à la source indiqué sur l’attestation mentionnée à l’art. 38A al. 1 let. b LPFisc ou b) si l’employeur ne lui a pas remis l’attestation mentionnée à l’art. 38A al. 1 let. b LPFisc.</w:t>
      </w:r>
    </w:p>
    <w:p>
      <w:r>
        <w:rPr>
          <w:b/>
        </w:rPr>
        <w:t>E. 5</w:t>
      </w:r>
    </w:p>
    <w:p>
      <w:r>
        <w:t>Les délais fixés par la loi sont des dispositions impératives de droit public. Ils ne sont en principe pas susceptibles d'être prolongés, restitués ou suspendus, si ce n'est par le législateur lui-même. Ainsi, celui qui n'agit pas dans le délai prescrit est forclos (cf. ATA/286/2020 du 10 mars 2020). Les règles relatives à ce type de délais nécessitent une stricte application, ceci pour des motifs d'égalité de traitement et d'intérêt public lié à une bonne administration de la justice et à la sécurité du droit. Ainsi, l'irrecevabilité qui sanctionne le non- respect d'un délai n'est en principe pas constitutive d'un formalisme excessif prohibé par l'art. 29 al. 1 de la Constitution fédérale de la Confédération suisse du 18 avril 1999 (Cst. - RS 101) (cf. not. ATF 142 V 152 consid. 4.2).</w:t>
      </w:r>
    </w:p>
    <w:p>
      <w:r>
        <w:rPr>
          <w:b/>
        </w:rPr>
        <w:t>E. 6</w:t>
      </w:r>
    </w:p>
    <w:p>
      <w:r>
        <w:t>La chambre administrative de la Cour de justice a récemment retenu (ATA/549/2024 du 30 avril 2024) que les travaux préparatoires relatifs à la révision du droit cantonal, notamment de l’art. 38F LPFisc, indiquaient clairement qu’il appartenait au contribuable de se manifester en demandant une rectification de l’impôt à la source ou le passage à une taxation ordinaire avant le 31 mars suivant l’année fiscale visée pour l’ensemble des éléments déterminants. En d’autres termes, passé le délai du 31 mars, le contribuable était forclos à remettre en cause les éléments de taxation.</w:t>
      </w:r>
    </w:p>
    <w:p>
      <w:r>
        <w:rPr>
          <w:b/>
        </w:rPr>
        <w:t>E. 7</w:t>
      </w:r>
    </w:p>
    <w:p>
      <w:r>
        <w:t>En l’espèce, la recourante admet ne pas avoir demandé une rectification de son imposition à la source 2022 dans le délai fixé par les art. 137 LIFD et 38E LPFisc.</w:t>
      </w:r>
    </w:p>
    <w:p>
      <w:r>
        <w:t>- 4/5 - A/1980/2024 Elle se prévaut en revanche des manquements de sa fiduciaire afin d’expliquer le dépassement de ce délai et d’obtenir néanmoins cette rectification.</w:t>
      </w:r>
    </w:p>
    <w:p>
      <w:r>
        <w:rPr>
          <w:b/>
        </w:rPr>
        <w:t>E. 8</w:t>
      </w:r>
    </w:p>
    <w:p>
      <w:r>
        <w:t>Les conditions pour admettre un empêchement sont très strictes. La restitution du délai suppose que le contribuable n’a pas respecté le délai légal en raison d’un empêchement imprévisible, dont la survenance ne lui est pas imputable à faute (arrêt du Tribunal fédéral 2C_40/2018 du 8 février 2018 consid. 5.1 et 5.2). Selon la jurisprudence, lorsqu’il mandate une fiduciaire, le contribuable n’est pas déchargé de ses obligations et responsabilités fiscales, mais doit supporter les inconvénients d’une telle intervention ; il répond en particulier des erreurs de l’auxiliaire qu’il n’instruit pas correctement ou dont il ne contrôle pas l’activité, du moins s’il était en mesure de reconnaître ces erreurs. Il ne faut pas que le contribuable qui se fait représenter soit favorisé par rapport au contribuable qui agit par lui-même par la possibilité de se soustraire à sa responsabilité en se retranchant derrière son représentant pour des fautes qui lui sont imputables (cf. arrêt du Tribunal fédéral 2C_78/2019 du 20 septembre 2019 consid. 6.3), étant rappelé que, selon la jurisprudence constante du Tribunal fédéral et de la chambre administrative, les actes du représentant sont opposables au représenté comme les siens propres (arrêts du Tribunal fédéral 2C_577/2013 du 4 février 2014 consid. 6.1 ; 2C_280/2013 du 6 avril 2013 ; ATA/150/2021 du 9 février 2021 consid. 5b ; ATA/1127/2020 du 10 novembre 2020 consid. 4c).</w:t>
      </w:r>
    </w:p>
    <w:p>
      <w:r>
        <w:rPr>
          <w:b/>
        </w:rPr>
        <w:t>E. 9</w:t>
      </w:r>
    </w:p>
    <w:p>
      <w:r>
        <w:t>En l’espèce, les manquements allégués de la fiduciaire que la recourante explique avoir mandatée ne constituent manifestement pas un motif de restitution du délai, puisqu’ils doivent lui être opposables comme les siens propres. Il sera par ailleurs relevé que si la recourante, comme elle l’allègue, a effectivement transmis à sa fiduciaire des documents en février 2023 déjà, il est alors pour le moins surprenant qu’elle ne se soit plus inquiétée de savoir si cette dernière avait effectué, avant le 31 mars 2023, les démarches nécessaires tendant à la rectification de sa taxation à la source 2022. Il apparait ainsi qu’elle n’a pas contrôlé l’activité même de sa mandataire, ce qui lui est également imputable à faute.</w:t>
      </w:r>
    </w:p>
    <w:p>
      <w:r>
        <w:rPr>
          <w:b/>
        </w:rPr>
        <w:t>E. 10</w:t>
      </w:r>
    </w:p>
    <w:p>
      <w:r>
        <w:t>Au vu de ce qui précède, c’est à bon droit que l'AFC-GE a refusé d’entrer en matière sur la demande de rectification de la recourante du 28 mars 2024, étant précisé que cette requête ne peut pas être considérée comme une demande de révision (cf. ATA/1151/2024 du 1er octobre 2024).</w:t>
      </w:r>
    </w:p>
    <w:p>
      <w:r>
        <w:rPr>
          <w:b/>
        </w:rPr>
        <w:t>E. 11</w:t>
      </w:r>
    </w:p>
    <w:p>
      <w:r>
        <w:t>Partant, mal fondé, le recours sera rejeté.</w:t>
      </w:r>
    </w:p>
    <w:p>
      <w:r>
        <w:rPr>
          <w:b/>
        </w:rPr>
        <w:t>E. 12</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w:t>
      </w:r>
    </w:p>
    <w:p>
      <w:r>
        <w:t>- 5/5 - A/1980/2024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