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JTAPI/122/2025 vom 3. Februar 2025</w:t>
      </w:r>
    </w:p>
    <w:p>
      <w:r>
        <w:t>GE Cour de justice, 2025-02-03, FR</w:t>
      </w:r>
    </w:p>
    <w:p>
      <w:r>
        <w:rPr>
          <w:b/>
        </w:rPr>
        <w:t xml:space="preserve">Quelle: </w:t>
      </w:r>
      <w:r>
        <w:t>https://mcp.opencaselaw.ch/entscheid/ge_gerichte_JTAPI_122_2025</w:t>
      </w:r>
    </w:p>
    <w:p>
      <w:r>
        <w:t>FR: GE_GERICHTE JTAPI/122/2025 du 3 février 2025</w:t>
      </w:r>
    </w:p>
    <w:p>
      <w:r>
        <w:t>IT: GE_GERICHTE JTAPI/122/2025 del 3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Lorsque la décision sur réclamation est, comme en l’espèce, une décision d’irrecevabilité, seule cette question peut faire l’objet du recours et non pas la taxation en tant que telle. Dans un tel cas, l’autorité de recours doit en effet examiner si les conditions formelles de la recevabilité de la réclamation (forme écrite, délai, motivation, moyen de preuve, etc.) étaient ou non remplies et, si tel n’est pas le cas, elle doit rejeter le recours déposé devant elle sans examiner elle- même le détail de la taxation (arrêt du Tribunal fédéral 2C_227/2021 du 16 avril 2021 consid. 2.2).</w:t>
      </w:r>
    </w:p>
    <w:p>
      <w:r>
        <w:rPr>
          <w:b/>
        </w:rPr>
        <w:t>E. 4</w:t>
      </w:r>
    </w:p>
    <w:p>
      <w:r>
        <w:t>Au vu de cette jurisprudence, il convient uniquement de déterminer si c’est à bon droit que l’AFC-GE a estimé que la réclamation du 10 avril 2024 a été déposée tardivement. Il s’ensuit que le tribunal n’a pas à examiner les griefs du recourant.</w:t>
      </w:r>
    </w:p>
    <w:p>
      <w:r>
        <w:rPr>
          <w:b/>
        </w:rPr>
        <w:t>E. 5</w:t>
      </w:r>
    </w:p>
    <w:p>
      <w:r>
        <w:t>Selon l’art.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w:t>
      </w:r>
    </w:p>
    <w:p>
      <w:r>
        <w:rPr>
          <w:b/>
        </w:rPr>
        <w:t>E. 6</w:t>
      </w:r>
    </w:p>
    <w:p>
      <w:r>
        <w:t>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Il appartient à l’administré qui réclame ou qui recourt d’établir qu’il l’a fait dans le respect du délai légal (ATA/899/2015 du 1er septembre 2015 ; ATA/243/2015 du 3 mars 2015; cf. aussi Pierre MOOR/Etienne POLTIER, Droit administratif, vol. II, 3ème éd., 2011, n° 2.2.6.7 p. 304).</w:t>
      </w:r>
    </w:p>
    <w:p>
      <w:r>
        <w:rPr>
          <w:b/>
        </w:rPr>
        <w:t>E. 7</w:t>
      </w:r>
    </w:p>
    <w:p>
      <w:r>
        <w:t>Le strict respect des délais légaux se justifie pour des raisons d’égalité de traitement et par un intérêt public lié à une bonne administration de la justice et à la sécurité du droit (ATF 142 V 152 consid. 4.2 ; arrêt du Tribunal fédéral 8D_6/2016 du 1er</w:t>
      </w:r>
    </w:p>
    <w:p>
      <w:r>
        <w:t>- 4/7 - A/1785/2024 juin 2017 consid. 3.2) et n’est pas constitutif de formalisme excessif (ATF 125 V 65 consid. 1 ; arrêt du Tribunal fédéral 6B_811/2022 du 15 septembre 2022 consid. 2).</w:t>
      </w:r>
    </w:p>
    <w:p>
      <w:r>
        <w:rPr>
          <w:b/>
        </w:rPr>
        <w:t>E. 8</w:t>
      </w:r>
    </w:p>
    <w:p>
      <w:r>
        <w:t>En l’occurrence, aucun élément ne permet de connaître la date de la notification du bordereau du 14 février 2024, celui-ci ayant été envoyé au recourant par pli simple. Cela étant, le recourant a indiqué la date à laquelle il avait reçu ce bordereau, soit le 26 février 2024. Dans la mesure où sa réclamation date du 10 avril 2024, celle-ci est manifestement en dehors du délai légal de 30 jours.</w:t>
      </w:r>
    </w:p>
    <w:p>
      <w:r>
        <w:rPr>
          <w:b/>
        </w:rPr>
        <w:t>E. 9</w:t>
      </w:r>
    </w:p>
    <w:p>
      <w:r>
        <w:t>En se prévalant de son déménagement suivi d’un déplacement professionnel, le recourant demande, à tout le moins implicitement, une restitution du délai de réclamation.</w:t>
      </w:r>
    </w:p>
    <w:p>
      <w:r>
        <w:rPr>
          <w:b/>
        </w:rPr>
        <w:t>E. 10</w:t>
      </w:r>
    </w:p>
    <w:p>
      <w:r>
        <w:t>Selon l’art.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Un délai inobservé est restitué si la personne contribuable exécute l’acte omis dans les 30 jours qui suivent la disparition de l’empêchement et prouve qu’elle a été empêchée d’agir en temps utile pour des motifs sérieux (art. 21 al. 3 LPFisc).</w:t>
      </w:r>
    </w:p>
    <w:p>
      <w:r>
        <w:rPr>
          <w:b/>
        </w:rPr>
        <w:t>E. 11</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(ATA/1297/2024 du 5 novembre 2024 consid. 2.4).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 La restitution du délai suppose que le contribuable et son éventuel représentant n’ont pas respecté le délai légal en raison d’un empêchement imprévisible, dont la survenance ne leur est pas imputable à faute (arrêts du Tribunal fédéral 2C_737/ 2018 du 20 juin 2019 consid. 4.1 non publié aux ATF 145 II 201 ;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w:t>
      </w:r>
    </w:p>
    <w:p>
      <w:r>
        <w:t>- 5/7 - A/1785/2024 l’existence d’un cas de force majeure, le fardeau de la preuve incombe à l’assujetti (ATA/461/2018 du 8 mai 2018 ; ATA/328/2018 du 10 avril 2018). En particulier, la maladie ou l’accident peuvent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Par ailleurs, un surcroît de travail ou une inattention ne constituent pas des motifs de restitution du délai (Yves NOËL/Florence AUBRY GIRARDIN, Commentaire romand, Impôt fédéral direct, 2017, n° 13, p. 1736).</w:t>
      </w:r>
    </w:p>
    <w:p>
      <w:r>
        <w:rPr>
          <w:b/>
        </w:rPr>
        <w:t>E. 12</w:t>
      </w:r>
    </w:p>
    <w:p>
      <w:r>
        <w:t>En l’occurrence, force est de retenir qu’un déménagement suivi d'un déplacement professionnel ne constituent ni un cas de force majeure ni un empêchement non fautif de réclamer dans les délais. Il ne peut pas être admis que de telles circonstances puissent effectivement empêcher un contribuable de s’occuper de ses affaires fiscales ou, à tout le moins, de désigner un mandataire pour ce faire. Il en résulte que la restitution du délai de réclamation est exclue et que, partant, c’est à bon droit que l’AFC-GE a déclaré irrecevable la réclamation du recourant pour cause de tardiveté.</w:t>
      </w:r>
    </w:p>
    <w:p>
      <w:r>
        <w:rPr>
          <w:b/>
        </w:rPr>
        <w:t>E. 13</w:t>
      </w:r>
    </w:p>
    <w:p>
      <w:r>
        <w:t>À maintes reprises, le tribunal a jugé que lorsqu’un contribuable demande à l’AFC- GE de réexaminer sa taxation, alors que le délai de réclamation a expiré depuis plusieurs mois, cette dernière doit envisager une telle requête comme une demande de reconsidération ou de révision (JTAPI/849/2024 du 28 août 2024 consid. 10 et les références citées).</w:t>
      </w:r>
    </w:p>
    <w:p>
      <w:r>
        <w:rPr>
          <w:b/>
        </w:rPr>
        <w:t>E. 14</w:t>
      </w:r>
    </w:p>
    <w:p>
      <w:r>
        <w:t>Aux termes de l’art. 55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55 al. 2 LPFisc précise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 ci dans la procédure ordinaire, la révision n’est pas possible, la jurisprudence se montrant stricte à cet égard (arrêt du Tribunal fédéral 2C_245/2019 du 27 septembre 2019 consid. 5.3 et les références citées). Le seul facteur décisif est ainsi</w:t>
      </w:r>
    </w:p>
    <w:p>
      <w:r>
        <w:t>- 6/7 - A/1785/2024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15</w:t>
      </w:r>
    </w:p>
    <w:p>
      <w:r>
        <w:t>En l’espèce, rien ne permet de conclure, à la lecture des écritures du contribuable, que celui-ci aurait sollicité la révision du bordereau du 14 février 2024. Il n’a d’ailleurs pas allégué, et encore moins démontré, que les conditions de la révision ou d’une reconsidération seraient remplies. En tout état, le recourant ne fait valoir aucun argument dont il n’aurait pas été en mesure de se prévaloir au cours d’une procédure ordinaire.</w:t>
      </w:r>
    </w:p>
    <w:p>
      <w:r>
        <w:rPr>
          <w:b/>
        </w:rPr>
        <w:t>E. 16</w:t>
      </w:r>
    </w:p>
    <w:p>
      <w:r>
        <w:t>Ne reposant sur aucun motif valable, le recours doit être rejeté.</w:t>
      </w:r>
    </w:p>
    <w:p>
      <w:r>
        <w:rPr>
          <w:b/>
        </w:rPr>
        <w:t>E. 17</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des recours. Aucune indemnité de procédure ne sera allouée (art. 87 al. 2 LPA).</w:t>
      </w:r>
    </w:p>
    <w:p>
      <w:r>
        <w:t>- 7/7 - A/1785/2024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