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JTAPI/1222/2023 vom 6. November 2023</w:t>
      </w:r>
    </w:p>
    <w:p>
      <w:r>
        <w:t>GE Cour de justice, 2023-11-06, FR</w:t>
      </w:r>
    </w:p>
    <w:p>
      <w:r>
        <w:rPr>
          <w:b/>
        </w:rPr>
        <w:t xml:space="preserve">Quelle: </w:t>
      </w:r>
      <w:r>
        <w:t>https://mcp.opencaselaw.ch/entscheid/ge_gerichte_JTAPI_1222_2023</w:t>
      </w:r>
    </w:p>
    <w:p>
      <w:r>
        <w:t>FR: GE_GERICHTE JTAPI/1222/2023 du 6 novembre 2023</w:t>
      </w:r>
    </w:p>
    <w:p>
      <w:r>
        <w:t>IT: GE_GERICHTE JTAPI/1222/2023 del 6 novembre 2023</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 Thierry TANQUEREL, Manuel de droit administratif, 2011, n. 515 p. 171).</w:t>
      </w:r>
    </w:p>
    <w:p>
      <w:r>
        <w:rPr>
          <w:b/>
        </w:rPr>
        <w:t>E. 5</w:t>
      </w:r>
    </w:p>
    <w:p>
      <w:r>
        <w:t>Saisi d'un recours, le tribunal applique le droit d'office. S'il ne peut pas aller au- delà des conclusions des parties, il n'est pas lié par les motifs qu'elles invoquent (art. 69 al. 1 LPA ; cf. ATA/117/2016 du 9 février 2016 consid. 2 ; ATA/723/2015 du 14 juillet 2015 consid. 4a ; ATA/585/2015 du 9 juin 2015 ; ATA/285/2013 du 7 mai 2013), de sorte qu'il peut admettre le recours pour</w:t>
      </w:r>
    </w:p>
    <w:p>
      <w:r>
        <w:t>- 10/17 - A/2231/2023 d'autres motifs que ceux invoqués par le recourant, comme il peut le rejeter en opérant une substitution de motifs (cf. ATF 135 III 397 consid. 1.4 ; arrêts du Tribunal fédéral 2C_540/2013 du 5 décembre 2013 consid. 3 ; 2C_349/2012 du 18 mars 2013 consid. 2.1).</w:t>
      </w:r>
    </w:p>
    <w:p>
      <w:r>
        <w:rPr>
          <w:b/>
        </w:rPr>
        <w:t>E. 6</w:t>
      </w:r>
    </w:p>
    <w:p>
      <w:r>
        <w:t>Sans toutefois prendre de conclusions formelles, le recourant relève qu’il serait dénué de sens que des mesures administratives soient prises à son encontre avant l’issue de la procédure pénale.</w:t>
      </w:r>
    </w:p>
    <w:p>
      <w:r>
        <w:rPr>
          <w:b/>
        </w:rPr>
        <w:t>E. 7</w:t>
      </w:r>
    </w:p>
    <w:p>
      <w:r>
        <w:t>Lorsque la qualification d'un acte ou la culpabilité est douteuse, il convient de statuer sur le retrait du permis de conduire après seulement que la procédure pénale soit achevée par une décision entrée en force, car, fondamentalement, selon la jurisprudence, l'autorité administrative appelée à prononcer un retrait du permis de conduire est en principe liée par les constatations de fait d’une telle décision, la sécurité du droit commandant en effet d’éviter que l’indépendance du juge pénal et du juge administratif ne conduise à des jugements opposés rendus sur la base des mêmes faits (ATF 139 II 95 consid. 3.2 ; ATF 137 I 363 consid. 2.3.2 et les références citées). Ces principes jurisprudentiels s'appliquent mutatis mutandis au refus d'échange de permis de conduire et à l'interdiction de conduire en Suisse en application de l'art. 45 OAC.</w:t>
      </w:r>
    </w:p>
    <w:p>
      <w:r>
        <w:rPr>
          <w:b/>
        </w:rPr>
        <w:t>E. 8</w:t>
      </w:r>
    </w:p>
    <w:p>
      <w:r>
        <w:t>En l’espèce, la décision a été prise dans l’intérêt public et important à la sécurité routière, de sorte qu’il se justifie de statuer sans attendre l’issue de la procédure pénale, le tribunal estimant en effet disposer de tous les éléments utiles pour se prononcer. L’on relèvera en particulier que le recourant a reconnu, lors de son audition du 21 juillet 2022 devant la police, avoir conduit en état d’ébriété. De même, après l’avoir d’abord nié, il a finalement admis, lors de son audition du 28 février 2023, avoir reçu le courrier du 16 janvier 2023 lui impartissant un délai au 26 janvier 2023 pour déposer son permis de conduire, compte-tenu de la mesure du 2 décembre 2022.</w:t>
      </w:r>
    </w:p>
    <w:p>
      <w:r>
        <w:rPr>
          <w:b/>
        </w:rPr>
        <w:t>E. 9</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10</w:t>
      </w:r>
    </w:p>
    <w:p>
      <w:r>
        <w:t>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w:t>
      </w:r>
    </w:p>
    <w:p>
      <w:r>
        <w:t>- 11/17 - A/2231/2023 dénotant un manque d'égards envers les autres usagers de la route (art. 15d al. 1 let. c LCR).</w:t>
      </w:r>
    </w:p>
    <w:p>
      <w:r>
        <w:rPr>
          <w:b/>
        </w:rPr>
        <w:t>E. 11</w:t>
      </w:r>
    </w:p>
    <w:p>
      <w:r>
        <w:t>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(art. 16 al. 1 LCR).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rPr>
          <w:b/>
        </w:rPr>
        <w:t>E. 12</w:t>
      </w:r>
    </w:p>
    <w:p>
      <w:r>
        <w:t>Pour déterminer la durée et s'il y a lieu de prononcer un retrait d'admonestation, la LCR distingue les infractions légères, moyennement graves et graves (art. 16a à 16e LCR).</w:t>
      </w:r>
    </w:p>
    <w:p>
      <w:r>
        <w:rPr>
          <w:b/>
        </w:rPr>
        <w:t>E. 13</w:t>
      </w:r>
    </w:p>
    <w:p>
      <w:r>
        <w:t>Selon l'art. 16c al. 1 let. f LCR, commet une infraction grave la personne qui conduit un véhicule automobile alors que le permis de conduire lui a été retiré.</w:t>
      </w:r>
    </w:p>
    <w:p>
      <w:r>
        <w:rPr>
          <w:b/>
        </w:rPr>
        <w:t>E. 14</w:t>
      </w:r>
    </w:p>
    <w:p>
      <w:r>
        <w:t>L'art. 16c al. 2 let. d LCR prévoit qu'après une infraction grave, le permis de conduire est retiré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Selon l'alinéa 3, la durée du retrait du permis en raison d'une infraction visée à l'al. 1 let. f, se substitue à la durée restante du retrait en cours.</w:t>
      </w:r>
    </w:p>
    <w:p>
      <w:r>
        <w:rPr>
          <w:b/>
        </w:rPr>
        <w:t>E. 15</w:t>
      </w:r>
    </w:p>
    <w:p>
      <w:r>
        <w:t>Cette disposition, issue du projet du Conseil fédéral (Message du Conseil fédéral du 31 mars 1999 concernant la modification de la loi fédérale sur la circulation routière, in FF 1999 4106), concède à la personne concernée l'avantage de n'avoir à exécuter entièrement que la seconde mesure. D'après les travaux préparatoires, cet avantage est toutefois relativisé par le fait que la personne est menacée plus rapidement d'un retrait définitif en cas de nouvelles infractions, étant donné qu'elle a déjà franchi une étape supplémentaire selon le système dit des mesures « en cascade » (Message, p. 4136; voir également RÜTSCHE/WEBER, op. cit., n. 63 ad art. 16c LCR; Cédric MIZEL, Droit et pratique illustrée du retrait du permis de conduire, 2015, p. 512 ss n. 71.6). A titre d'exemple, le Message mentionne le cas d'un automobiliste sous le coup d'un retrait du permis de conduire pour une durée de trois mois à la suite d'une infraction grave, qui, en cas de conduite durant ce premier retrait, doit faire l'objet d'une mesure d'une durée minimale de douze mois</w:t>
      </w:r>
    </w:p>
    <w:p>
      <w:r>
        <w:t>- 12/17 - A/2231/2023 (Message, p. 4136). En d'autres termes, la durée minimale du nouveau retrait dépend donc de la qualification de la première. Si par exemple, celle-ci était moyennement grave, le retrait minimal sera de six mois en vertu de l'art. 16c a. 2 let. b LCR (BUSSY /RUSCONI/ JEANNERET/ KUHN/ MIZEL/ MULLER, Code suisse de la circulation routière commenté, 2015, n. 11 ad art. 16c LCR). Ainsi, contrairement au principe prévoyant qu'en droit de la circulation routière un conducteur ne se trouve en état de récidive qu'après la fin de l'exécution d'un précédent retrait, la loi aménage, pour l'infraction de conduite sans permis (art. 16c let. f LCR), un antécédent immédiatement aggravant dans le système des cascades des sanctions prévu par les art. 16 ss LCR (cf. Mizel, op. cit., n. 79.8 p. 608 ; arrêts du Tribunal fédéral 1C_32/2015 du 18 juin 2015 consid .6.1;1C_579/2014 du 15 juillet 2015 consid. 3.1).</w:t>
      </w:r>
    </w:p>
    <w:p>
      <w:r>
        <w:rPr>
          <w:b/>
        </w:rPr>
        <w:t>E. 16</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(ATF 135 II 334 consid. 2.2 et les arrêts cités). Ces éléments doivent faire l'objet d'une appréciation d'ensemble, de manière à atteindre autant que possible l'effet éducatif et préventif auquel tend la mesure. Dans ce contexte, l'autorité cantonale dispose d'un large pouvoir d'appréciation et l'autorité de recours n'intervient que si celle-ci a abusé de ce pouvoir, par exemple en ne prenant pas en compte certains éléments pertinents ou encore en appréciant leur portée de manière insoutenable (ATF 128 II 173 consid. 4b ; JdT 2002 I 593 et la jurisprudence citée). Il y a lieu ainsi de rechercher si des circonstances particulières ne justifient pas de considérer le cas comme plus grave ou, inversement, comme de moindre gravité (arrêt 1C_125/2016 du 25 octobre 2016). La proximité temporelle d'un antécédent (généralement constitutif d'une récidive) est une circonstance aggravante (arrêts 1C_366/2011 consid. 3.5 ; 1C_293/2009 consid. 2.2).</w:t>
      </w:r>
    </w:p>
    <w:p>
      <w:r>
        <w:rPr>
          <w:b/>
        </w:rPr>
        <w:t>E. 17</w:t>
      </w:r>
    </w:p>
    <w:p>
      <w:r>
        <w:t>Selon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w:t>
      </w:r>
    </w:p>
    <w:p>
      <w:r>
        <w:rPr>
          <w:b/>
        </w:rPr>
        <w:t>E. 18</w:t>
      </w:r>
    </w:p>
    <w:p>
      <w:r>
        <w:t>En l'espèce, l'infraction retenue à l'encontre du recourant, à savoir la conduite sous retrait de permis, doit être qualifiée de grave au regard de la LCR. Partant, un retrait du permis de conduire pour une durée indéterminée, mais pour deux ans au minimum, se justifiait, compte-tenu de ses antécédents, à savoir, en particulier, les</w:t>
      </w:r>
    </w:p>
    <w:p>
      <w:r>
        <w:t>- 13/17 - A/2231/2023 interdictions de faire usage de son permis de conduire étranger sur le territoire suisse prononcées par décisions des 14 mars 2018 et 2 décembre 2022. Toutefois, la question d'une éventuelle erreur sur les faits, subsidiairement sur l’illicéité de son comportement se pose, le recourant exposant que lors de son arrestation du 28 février 2023 qui a débouché sur la décision querellée, il n’était pas sous interdiction de faire usage de son permis de conduire étranger sur le territoire suisse, l’interdiction de circuler en Suisse du 21 juillet 2022, portant sur la période du 21 juillet au 20 octobre 2022 - si tant était qu’elle ait existé et ait été fondée -, ne lui ayant jamais été notifiée, avec pour conséquence que la décision du 2 décembre 2022, se fondant sur cette dernière et servant de base à la décision entreprise, était elle-même également sans fondement. Au vu de ces arguments, il convient d'établir, préalablement, si une interdiction de circuler en Suisse du</w:t>
      </w:r>
    </w:p>
    <w:p>
      <w:r>
        <w:rPr>
          <w:b/>
        </w:rPr>
        <w:t>E. 21</w:t>
      </w:r>
    </w:p>
    <w:p>
      <w:r>
        <w:t>La prestation « courrier A Plus » offre la possibilité de suivre le processus d'expédition du dépôt jusqu'à la distribution. Elle comporte également l'éventuelle réexpédition à une nouvelle adresse ainsi que le retour des envois non distribuables [(https://www.post.ch/fr/expedier-des-lettres/lettres-suisse/courrier- a-plus?shortcut=fr-entreprises-expedition-transport-lettres-suisse-courrier-a-plus; Factsheet « Courrier A Plus » (PDF, 106.1 KB)].</w:t>
      </w:r>
    </w:p>
    <w:p>
      <w:r>
        <w:rPr>
          <w:b/>
        </w:rPr>
        <w:t>E. 22</w:t>
      </w:r>
    </w:p>
    <w:p>
      <w:r>
        <w:t>S'agissant d'un acte soumis à réception, telle une décision ou une communication de procédure, la notification est réputée parfaite au moment où l'envoi entre dans la sphère de pouvoir de son destinataire (ATA/1591/2019 du 29 octobre 2019 consid. 3c ; ATA/450/2015 du 12 mai 2015 consid. 3 ; ATA/400/2012 du 26 juin 2012 consid. 3b). Il suffit que celui-ci puisse en prendre connaissance (ATF 137 III 308 consid. 3.1.2 ; 118 II 42 consid. 3b ; 115 Ia 12 consid. 3b ; arrêts du Tribunal fédéral 2P.259/2006 du 18 avril 2007 consid. 3.1 ; 2A.54/2000 du</w:t>
      </w:r>
    </w:p>
    <w:p>
      <w:r>
        <w:rPr>
          <w:b/>
        </w:rPr>
        <w:t>E. 23</w:t>
      </w:r>
    </w:p>
    <w:p>
      <w:r>
        <w:t>Une notification irrégulière ne peut entraîner aucun préjudice pour les parties (art. 47 LPA)</w:t>
      </w:r>
    </w:p>
    <w:p>
      <w:r>
        <w:t>- 14/17 - A/2231/2023</w:t>
      </w:r>
    </w:p>
    <w:p>
      <w:r>
        <w:rPr>
          <w:b/>
        </w:rPr>
        <w:t>E. 24</w:t>
      </w:r>
    </w:p>
    <w:p>
      <w:r>
        <w:t>Une décision irrégulièrement notifiée n'est pas nulle, mais seulement inopposable à ceux qui auraient dû en être les destinataires. Une telle décision ne peut donc pas les lier, mais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w:t>
      </w:r>
    </w:p>
    <w:p>
      <w:r>
        <w:rPr>
          <w:b/>
        </w:rPr>
        <w:t>E. 25</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w:t>
      </w:r>
    </w:p>
    <w:p>
      <w:r>
        <w:rPr>
          <w:b/>
        </w:rPr>
        <w:t>E. 26</w:t>
      </w:r>
    </w:p>
    <w:p>
      <w:r>
        <w:t>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 Ce principe lie également les administrés. Ceux-ci ne doivent pas abuser d'une faculté que leur confère la loi en l'utilisant à des fins pour lesquelles elle n'a pas été prévue. Ce faisant, ils ne violent certes pas la loi, mais ils s'en servent pour atteindre un but qui n'est pas digne de protection (ATA/500/2011 du 27 juillet 2011 et les références citées).</w:t>
      </w:r>
    </w:p>
    <w:p>
      <w:r>
        <w:rPr>
          <w:b/>
        </w:rPr>
        <w:t>E. 27</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ATA/286/2017 du 14 mars 2017 ; ATA/505/2016 du 14 juin 2016).</w:t>
      </w:r>
    </w:p>
    <w:p>
      <w:r>
        <w:rPr>
          <w:b/>
        </w:rPr>
        <w:t>E. 28</w:t>
      </w:r>
    </w:p>
    <w:p>
      <w:r>
        <w:t>La chambre administrative de la Cour de justice (ci-après : la chambre administrative) et le tribunal de céans accordent généralement une valeur probante aux constatations figurant dans un rapport de police, établi par des agents assermentés (ATA/1411/2017 du 17 octobre 2017 et les références citées).</w:t>
      </w:r>
    </w:p>
    <w:p>
      <w:r>
        <w:rPr>
          <w:b/>
        </w:rPr>
        <w:t>E. 29</w:t>
      </w:r>
    </w:p>
    <w:p>
      <w:r>
        <w:t>Selon l'art. 13 al. 1 du Code pénal suisse du 21 décembre 1937 (CP - RS 311.0), applicable par analogie aux retraits d'admonestation en tant que sanctions à caractère répressif (Y. JEANNERET, Journées du droit de la circulation routière, 2006, p. 264, note 74 et réf. cit.), quiconque agit sous l’influence d’une appréciation erronée des faits est jugé d’après cette appréciation si elle lui est favorable.</w:t>
      </w:r>
    </w:p>
    <w:p>
      <w:r>
        <w:t>- 15/17 - A/2231/2023</w:t>
      </w:r>
    </w:p>
    <w:p>
      <w:r>
        <w:rPr>
          <w:b/>
        </w:rPr>
        <w:t>E. 30</w:t>
      </w:r>
    </w:p>
    <w:p>
      <w:r>
        <w:t>Quiconque pouvait éviter l’erreur en usant des précautions voulues est punissable pour négligence si la loi réprime son acte comme infraction de négligence (art. 13 al. 2 CP).</w:t>
      </w:r>
    </w:p>
    <w:p>
      <w:r>
        <w:rPr>
          <w:b/>
        </w:rPr>
        <w:t>E. 31</w:t>
      </w:r>
    </w:p>
    <w:p>
      <w:r>
        <w:t>L'art. 100 al. 1 LCR réprime les infractions commises par négligence.</w:t>
      </w:r>
    </w:p>
    <w:p>
      <w:r>
        <w:rPr>
          <w:b/>
        </w:rPr>
        <w:t>E. 32</w:t>
      </w:r>
    </w:p>
    <w:p>
      <w:r>
        <w:t>Selon l'art. 21 CP, quiconque ne sait ni ne peut savoir au moment d'agir que son comportement est illicite n'agit pas de manière coupable. Le juge atténue la peine si l'erreur était évitable.</w:t>
      </w:r>
    </w:p>
    <w:p>
      <w:r>
        <w:rPr>
          <w:b/>
        </w:rPr>
        <w:t>E. 33</w:t>
      </w:r>
    </w:p>
    <w:p>
      <w:r>
        <w:t>En l’espèce, le tribunal retiendra que l’interdiction de circuler à partir du 21 juillet 2022 et jusqu’à décision de l’OCV, a été valablement notifiée par la police au recourant, le même jour, lequel a confirmé par sa signature, sa bonne réception. Ce dernier ayant violé cette interdiction, à tout le moins le 14 octobre 2022, lorsqu’il a été contrôlé au volant de son véhicule, c’est à juste titre que l’OCV, par décision du 2 décembre 2022, lui a interdit de faire usage de son permis de conduire étranger sur le territoire suisse, pour une durée de treize mois, pour ce motif mais également pour conduite en état d’ébriété en présentant un taux d’alcool qualifié, soit avec une concentration d’alcool dans l’air expiré de 0,40 mg/l à l’éthylomètre, le 21 juillet 2022 à 00h43 sur 1______ à Avully, au volant d’une voiture, fait que l’intéressé a au demeurant reconnu lors de son audition du 21 juillet 2022. La décision du 2 décembre 2022 était ainsi parfaitement fondée et était opposable au recourant dès son entrée en force, pour la durée de treize mois fixée. Elle constitue de plus un antécédent devant être pris en compte, dans la décision querellée, pour la fixation de la durée du retrait du permis du recourant. Il découle de ce qui précède, s’agissant du bien-fondé de la décision querellée, qu’en conduisant à tout le moins le 28 février 2023, alors qu’il savait faire l’objet d’une interdiction de conduire, non seulement du fait de la décision du 2 décembre 2022, en force, mais également dès lors qu’il avait été expressément invité, par courrier du 16 janvier 2023 de l’OCV, à déposer son permis de conduire au plus tard le 26 janvier 2023, sous peine de dénonciation au Ministère public, le recourant a violé l’art. 16c al. 1 let. f LCR. C’est ainsi à bon droit que l’OCV lui a retiré son permis de conduire, par décision du 1er juin 2023, en application de cette disposition. Les modalités auxquelles la restitution du permis est subordonnée, non contestées, doivent également être confirmées. En prononçant une mesure ne s'écartant pas de la durée minimale prévue par la loi, l’OCV n'avait enfin pas la faculté de tenir compte des besoins du recourant.</w:t>
      </w:r>
    </w:p>
    <w:p>
      <w:r>
        <w:rPr>
          <w:b/>
        </w:rPr>
        <w:t>E. 34</w:t>
      </w:r>
    </w:p>
    <w:p>
      <w:r>
        <w:t>Dans ces conditions, la décision querellée ne peut être que confirmée et, partant, le recours rejeté.</w:t>
      </w:r>
    </w:p>
    <w:p>
      <w:r>
        <w:t>- 16/17 - A/2231/2023</w:t>
      </w:r>
    </w:p>
    <w:p>
      <w:r>
        <w:rPr>
          <w:b/>
        </w:rPr>
        <w:t>E. 35</w:t>
      </w:r>
    </w:p>
    <w:p>
      <w:r>
        <w:t>En application des art. 87 al. 1 LPA et 1 et 2 du règlement sur les frais, émoluments et indemnités en procédure administrative du 30 juillet 1986 (RFPA - E 5 10.03), le recourant qui succombe, est condamné au paiement d'un émolument s'élevant à CHF 500.-.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36</w:t>
      </w:r>
    </w:p>
    <w:p>
      <w:r>
        <w:t>Vu l'issue du litige, aucune indemnité de procédure ne sera allouée (art. 87 al. 2 LPA).</w:t>
      </w:r>
    </w:p>
    <w:p>
      <w:r>
        <w:t>- 17/17 - A/2231/2023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