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JTAPI/1220/2024 vom 19. April 2018</w:t>
      </w:r>
    </w:p>
    <w:p>
      <w:r>
        <w:t>GE Cour de justice, 2018-04-19, FR</w:t>
      </w:r>
    </w:p>
    <w:p>
      <w:r>
        <w:rPr>
          <w:b/>
        </w:rPr>
        <w:t xml:space="preserve">Quelle: </w:t>
      </w:r>
      <w:r>
        <w:t>https://mcp.opencaselaw.ch/entscheid/ge_gerichte_JTAPI_1220_2024</w:t>
      </w:r>
    </w:p>
    <w:p>
      <w:r>
        <w:t>FR: GE_GERICHTE JTAPI/1220/2024 du 19 avril 2018</w:t>
      </w:r>
    </w:p>
    <w:p>
      <w:r>
        <w:t>IT: GE_GERICHTE JTAPI/1220/2024 del 19 aprile 2018</w:t>
      </w:r>
    </w:p>
    <w:p>
      <w:pPr>
        <w:pStyle w:val="Heading2"/>
      </w:pPr>
      <w:r>
        <w:t>Erwägungen</w:t>
      </w:r>
    </w:p>
    <w:p>
      <w:r>
        <w:rPr>
          <w:b/>
        </w:rPr>
        <w:t>E. 24</w:t>
      </w:r>
    </w:p>
    <w:p>
      <w:r>
        <w:t>Au vu de ces circonstances, l’appréciation que l’OCPM a faite de la situation de la recourante sous l’angle des art. 30 al. 1 let. b LEI et 31 OASA ne prête pas le flanc à la critique. Dans ces conditions, le tribunal, qui doit faire preuve de retenue et respecter la latitude de jugement conférée à l’autorité intimée, ne saurait en corriger le résultat en fonction d’une autre conception, sauf à statuer en opportunité, ce que la loi lui interdit de faire.</w:t>
      </w:r>
    </w:p>
    <w:p>
      <w:r>
        <w:rPr>
          <w:b/>
        </w:rPr>
        <w:t>E. 25</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26</w:t>
      </w:r>
    </w:p>
    <w:p>
      <w:r>
        <w:t>En l’occurrence, au vu de l’absence de délivrance de titre de séjour, c’est à juste titre que l’autorité intimée, qui ne dispose d’aucune latitude de jugement à cet égard, a ordonné le renvoi de Suisse de la recourante et de ses enfants. Quant à l’exécution de ce renvoi, aucun élément au dossier ne laisse supposer que celle-ci ne serait pas possible, pas licite ou qu'elle ne pourrait être raisonnablement exigée (art. 83 LEI).</w:t>
      </w:r>
    </w:p>
    <w:p>
      <w:r>
        <w:rPr>
          <w:b/>
        </w:rPr>
        <w:t>E. 27</w:t>
      </w:r>
    </w:p>
    <w:p>
      <w:r>
        <w:t>Mal fondé, le recours sera rejeté et la décision contestée confirmée.</w:t>
      </w:r>
    </w:p>
    <w:p>
      <w:r>
        <w:rPr>
          <w:b/>
        </w:rPr>
        <w:t>E. 28</w:t>
      </w:r>
    </w:p>
    <w:p>
      <w:r>
        <w:t>En application des art. 87 al. 1 LPA et 1 et 2 du règlement sur les frais, émoluments et indemnités en procédure administrative du 30 juillet 1986 (RFPA - E 5 10.03), la recourante, qui succombe, est condamné au paiement d’un émolument s'élevant à CHF 500.-. Vu l’issue du litige, aucune indemnité de procédure ne sera allouée (art. 87 al. 2 LPA). La recourante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29</w:t>
      </w:r>
    </w:p>
    <w:p>
      <w:r>
        <w:t>En vertu des art. 89 al. 2 et 111 al. 2 de la loi sur le Tribunal fédéral du 17 juin 2005 (LTF - RS 173.110), le présent jugement sera communiqué au secrétariat d'État aux migrations.</w:t>
      </w:r>
    </w:p>
    <w:p>
      <w:r>
        <w:t>- 16/16 - A/2337/2024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