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JTAPI/1218/2024 vom 12. Dezember 2024</w:t>
      </w:r>
    </w:p>
    <w:p>
      <w:r>
        <w:t>GE Cour de justice, 2024-12-12, FR</w:t>
      </w:r>
    </w:p>
    <w:p>
      <w:r>
        <w:rPr>
          <w:b/>
        </w:rPr>
        <w:t xml:space="preserve">Quelle: </w:t>
      </w:r>
      <w:r>
        <w:t>https://mcp.opencaselaw.ch/entscheid/ge_gerichte_JTAPI_1218_2024</w:t>
      </w:r>
    </w:p>
    <w:p>
      <w:r>
        <w:t>FR: GE_GERICHTE JTAPI/1218/2024 du 12 décembre 2024</w:t>
      </w:r>
    </w:p>
    <w:p>
      <w:r>
        <w:t>IT: GE_GERICHTE JTAPI/1218/2024 del 12 dicembre 2024</w:t>
      </w:r>
    </w:p>
    <w:p>
      <w:pPr>
        <w:pStyle w:val="Heading2"/>
      </w:pPr>
      <w:r>
        <w:t>Erwägungen</w:t>
      </w:r>
    </w:p>
    <w:p>
      <w:r>
        <w:rPr>
          <w:b/>
        </w:rPr>
        <w:t>E. 14</w:t>
      </w:r>
    </w:p>
    <w:p>
      <w:r>
        <w:t>Dans leurs observations des 8 et 18 avril 2024, M. L______, mandataire professionnellement qualifié architecte indiquant agir pour la société H______ SA et M. K______, administrateur de H______ SA, indiquant agir pour le compte du propriétaire, ont conclu à l’irrecevabilité du recours. L’autorisation délivrée respectait tous les règlements et lois en vigueur et le projet ne bénéficiait pas de dérogations. Les observations des recourants étaient infondées et leurs remarques quant à la fonctionnalité du parking étaient irrecevables. Ils avaient néanmoins pris la peine de faire réaliser des schémas de manœuvre dans le parking par le bureau d’ingénieurs M______ SA attestant de sa fonctionnalité, schémas qu’ils joignaient.</w:t>
      </w:r>
    </w:p>
    <w:p>
      <w:r>
        <w:rPr>
          <w:b/>
        </w:rPr>
        <w:t>E. 15</w:t>
      </w:r>
    </w:p>
    <w:p>
      <w:r>
        <w:t>Les recourants ont répliqué le 21 mai 2024, sous la plume de leurs conseils. Ils avaient fait analyser par un architecte les schémas établis par M______ SA et il en ressortait que :</w:t>
      </w:r>
    </w:p>
    <w:p>
      <w:r>
        <w:t>- 10/31 - A/413/2024 - Seules quatre des sept places devant être prévues pour les vélos pourraient être agencées et deux uniquement seraient exploitables en raison de leur emplacement dans la zone de recul demandée par l'OCT ; - Aucune place pour moto n'était prévue ni envisageable ; - En marche avant et selon une trajectoire unique, seuls quatre des huit places de parking étaient exploitables pour se parquer ; - Le modèle de véhicule utilisé dans les plans était obsolète. Ce même véhicule, daté de 2019, disposait d'une largeur de 2,21 m, laissant uniquement 4,5 cm de chaque côté du véhicule pour accéder au parking selon l'unique trajectoire possible décrite à l'appui de l'analyse fournie ; - De nombreux obstacles entravaient le passage sur le chemin d'accès à la parcelle ; - Les plans établis étaient trompeurs puisque le véhicule n'était pas dessiné dans l'axe de sa trajectoire, faussant l'appréciation des réelles manœuvres nécessaires. L'appréciation de l'OCT se fondait ainsi sur des indications erronées dans les plans. Sur le fond, ils persistaient intégralement dans les conclusions de leur recours et renvoyaient aux développements de ce dernier. Ils ont pour le surplus insisté sur le fait que le projet avait subi d’importantes modifications essentielles, consistant notamment en la modification de l’implantation du bâtiment, des aménagements extérieurs (modifications des aménagements paysagers et des surfaces carrossables, suppression des patios, relocalisation des PAC, déplacement des terrasses) et intérieurs (construction de fenêtres dans les salles d’eau en pignon, suppression du tracé de l’escalier de la coupe F-F, compression du parking) et à l’ajout d’un local à poubelles, sans que toutes les instances de préavis ne soient à nouveau consultées. Or, le local à poubelles projeté était susceptible d’engendrer des nuisances pour les riverains, respectivement d’impacter l’accès de la parcelle de sorte qu’un examen du SABRA et de la police du feu était nécessaire, en particulier pour s’assurer qu’aucune violation de la LPE et de l’OPB n’était à craindre. Dans ses trois préavis, la commune ne faisait enfin que rappeler les exigences ressortant de son plan directeur communal. En les écartant, sans justifier d’aucun intérêt public prépondérant, le département avait abusé de son pouvoir d’appréciation. La problématique des accès pompiers insuffisants – situation encore péjorée par l’installation du local poubelles - soulevait également un problème d’équipement au sens de l’art. 22 de la loi fédérale sur l’aménagement du territoire du 22 juin 1979 (LAT - RS 700). Concernant les places de stationnement, le projet litigieux, comprenant quatre villas mitoyennes, ne rentrait manifestement pas dans le champ d’application de l’art. 5 al. 3 phrase 1 RPSFP. Le stationnement de vélos et deux- roues était pour le surplus impraticable le long des façades des villas, comme cela ressortait de la pièce 27 de leur chargé et les places de stationnement voitures n’étaient pas accessibles sans recourir à de multiples manœuvres. Ils avaient intérêt</w:t>
      </w:r>
    </w:p>
    <w:p>
      <w:r>
        <w:t>- 11/31 - A/413/2024 à soulever ce grief en raison du report de stationnement qui pourrait en découler sur le chemin privé en copropriété. Ce report pourrait également découler du non- respect des art. 72 et 73 LCI qui aurait pour conséquence que 2 des 8 places de stationnement serait vraisemblablement supprimées à terme vu leur impraticabilité. Partant, ils avaient un intérêt à se prévaloir dudit grief. Ils pouvaient également se prévaloir du maintien des arbres situés au nord de la parcelle n° 1______, en limite de la parcelle n° 6______, qui faisaient office de rideau végétalisé, étant par ailleurs relevé que l’autorisation d’abattage du cèdre du ______ 2021 était caduque. Ils ont joint des pièces complémentaires.</w:t>
      </w:r>
    </w:p>
    <w:p>
      <w:r>
        <w:rPr>
          <w:b/>
        </w:rPr>
        <w:t>E. 16</w:t>
      </w:r>
    </w:p>
    <w:p>
      <w:r>
        <w:t>Invités à dupliquer par courrier du tribunal du 28 mai 2024, les intimés ont indiqué, par courrier du 13 juin 2024, n’avoir pas d’éléments à ajouter.</w:t>
      </w:r>
    </w:p>
    <w:p>
      <w:r>
        <w:rPr>
          <w:b/>
        </w:rPr>
        <w:t>E. 17</w:t>
      </w:r>
    </w:p>
    <w:p>
      <w:r>
        <w:t>Dans le délai prolongé au 3 juillet 2024 pour sa duplique, le département a persisté dans les développements et conclusions de ses observations du 8 avril 2024. En lien avec les art. 3 al. 3 LCI et 16 al. 2 RCI, il a encore souligné qu’il n'avait pas à recueillir le préavis d'autres services en tant que l'objet de la modification ne rentrait pas dans leur domaine de compétence et était inapte à remettre en cause les préavis favorables rendus dans le cadre de l'instruction de la demande. Les recourants s'étendaient sur l'évolution du projet sans exposer en quoi ces modifications auraient dû donner lieu à une remise en cause des préavis rendus par la police du feu et le SABRA. Il était en particulier évident qu’un déplacement au sous-sol des PAC initialement prévues en toiture, améliorerait la situation acoustique des propriétaires des parcelles voisines. A toutes fins utiles, il avait soumis les plans dans leur version autorisée au SABRA, qui avait confirmé que selon l'évaluation acoustique réalisée, les PAC respecteraient les valeurs de planification et le principe de la LPE au droit des fenêtres ouvertes des locaux sensibles au bruit les plus exposés (villas contiguës). Ainsi, la valeur de son préavis n'était en rien modifiée étant précisé que la condition qu'il y avait imposée et qui était reprise dans l'autorisation de construire (cf. chiffre 8 de la décision) demeurait toujours applicable. Quant à la zone plus compacte de manœuvre et au local poubelles prévu à l'entrée du chemin d'accès, ils étaient sans incidence sur la conformité du projet avec les normes applicables en matière de prévention du feu et partant, sur l'analyse et la valeur du préavis rendu par la police du feu, étant à nouveau rappelé que l'obligation de prévoir des voies d'accès aux engins du service du feu selon les art. 96 al. 1 RCI et 7.2 de la directive n° 7 ne s'appliquait pas aux villas. Le SABRA avait en outre considéré que le local poubelles, qui n’était pas un éco-point, ne devrait pas provoquer de dérangement pour le voisinage au vu de la distance le séparant des voisins et la fréquence de dépose des déchets pour une utilisation normale avec le respect des heures de repos pour le voisinage. Les recourants ne démontraient pas le contraire, se bornant à des suppositions. En lien avec la violation de l’art. 15 LCI alléguée, pour rappel, les PDCom ne produisaient aucun effet juridique à l'égard des particuliers et, de jurisprudence</w:t>
      </w:r>
    </w:p>
    <w:p>
      <w:r>
        <w:t>- 12/31 - A/413/2024 constante, un projet de construction conforme au droit cantonal ne pouvait être refusé au seul motif qu'il contreviendrait à un PDCom. Les recourants échouaient pour le surplus à démontrer un quelconque fondement légal aux arguments invoqués par la commune et il avait été tenu compte, dans la pesée des intérêts, des intérêts public lié à la réalisation de logements et privé du propriétaire à pouvoir exploiter le potentiel constructible de sa parcelle. Aucune violation des art. 72 et 73 LCI n’était à déplorer étant rappelé qu’il persistait à considérer le grief y relatif irrecevable. Les accès pompiers prévus étaient suffisants au regard de l'utilisation prévue. Il n’y avait aucun problème d'équipement au sens de l'art. 22 LAT et le préavis favorable de la police du feu attestait de la conformité du projet en matière de prévention d'incendie. Concernant le RPSFP, l'OCT avait confirmé que le nombre de places requis était respecté. Le grief de risque de report du stationnement sur la parcelle n° 11_____ correspondant au chemin privé n’était pas du ressort du tribunal. Le stationnement des vélos était possible le long des façades et pourrait, au besoin, aussi se faire en partie sur l'espace public. Les normes VSS n’étaient enfin pas contraignantes. La perte d'intimité alléguée en lien avec l’abattage des arbres n’était, en tant que tel, pas protégée en droit public, si ce n'était de façon indirecte par le biais des règles de police des constructions (distances aux limites et entre bâtiments, hauteurs maximum). Le grief des recourants était partant irrecevable étant relevé qu’ils restaient libres de prévoir une arborisation ou tout autre écran sur leur parcelle qui leur permettrait de retrouver une certaine intimité. L’état du cèdre avait pour le surplus été constaté par un technicien assermenté de l’OCAN et l’autorisation de son abattage, du ______ 2021, était jointe au préavis liant du 20 novembre 2023 de cet office. Ce cèdre était en outre cité dans la requête d'abattage du 17 mai 2023 et spécifié dans le plan du 15 septembre 2023 cité par l'OCAN dans son préavis liant, lequel renouvelait ainsi l'autorisation de l'abattre.</w:t>
      </w:r>
    </w:p>
    <w:p>
      <w:r>
        <w:rPr>
          <w:b/>
        </w:rPr>
        <w:t>E. 18</w:t>
      </w:r>
    </w:p>
    <w:p>
      <w:r>
        <w:t>Dans des écritures spontanées du 19 juillet 2024, les recourants ont persisté dans leurs arguments, relevant encore que l’immeuble projeté correspondait à un habitat groupé dépassant la notion de villa, avec pour conséquence toutes les nuisances et problématiques invoquées. Ils ont joint un chargé complémentaire de deux pièces.</w:t>
      </w:r>
    </w:p>
    <w:p>
      <w:r>
        <w:rPr>
          <w:b/>
        </w:rPr>
        <w:t>E. 19</w:t>
      </w:r>
    </w:p>
    <w:p>
      <w:r>
        <w:t>octobre 2021 consid. 23 ; ATA/1180/2015 du 3 novembre 2015 consid. 13).</w:t>
      </w:r>
    </w:p>
    <w:p>
      <w:r>
        <w:rPr>
          <w:b/>
        </w:rPr>
        <w:t>E. 20</w:t>
      </w:r>
    </w:p>
    <w:p>
      <w:r>
        <w:t>L’art. 7 aRPSFP pose divers principes quant aux places à aménager, respectivement aux éléments à prendre en compte dans ce cadre.</w:t>
      </w:r>
    </w:p>
    <w:p>
      <w:r>
        <w:rPr>
          <w:b/>
        </w:rPr>
        <w:t>E. 21</w:t>
      </w:r>
    </w:p>
    <w:p>
      <w:r>
        <w:t>L’art. 8 aRPSFP permet à l’autorité compétente d’accorder, à certaines conditions, des dérogations au nombre de places à aménager.</w:t>
      </w:r>
    </w:p>
    <w:p>
      <w:r>
        <w:rPr>
          <w:b/>
        </w:rPr>
        <w:t>E. 22</w:t>
      </w:r>
    </w:p>
    <w:p>
      <w:r>
        <w:t>En l'espèce, le projet, qui prévoit 8 places voitures pour 4 villas respecte l’art. 5 al. 3 aRPSFP, étant relevé que, contrairement à ce que soutiennent les recourants, l’on est bien en présence ici de villas mitoyennes ou contiguës au sens de cette disposition, ces deux adjectifs étant des synonymes (https://dictionnaire.lerobert.com/synonymes/mitoyen). Une place pour moto ainsi que 7 places pour les vélos doivent pour le surplus être prévues, sans que leur signalement sur les plans ne soit cependant nécessaire, selon la pratique de l’OCT. Or, à cet égard, le tribunal retiendra, tout comme cette dernière instance et le département, que le projet offre suffisamment de place le long des façades des villas, voire en sous-sol - étant rappelé que chaque villa y dispose notamment d’une grande salle de jeu -, pour y stationner ces véhicules. L'octroi d'une dérogation n'était donc pas nécessaire. Le recourants ne sauraient enfin être suivis quant à l’absence de fonctionnalité des places de stationnement véhicules. Tout d’abord, la Norme VSS 40 291, sur laquelle ils se fondent n'a pas force de loi et n'est pas contraignante. Quant aux documents produits sous pièce n° 27 de leur chargé, ils sont contredits par l'appréciation de l’OCT, instance spécialisée qui a préavisé favorablement le projet, après en avoir demandé quelques modifications afin de faciliter les manœuvres d’accès, estimant, en particulier, que la largeur du chemin d’accès était suffisante pour permettre le passage de véhicules automobiles (jusqu’à 5 m de longueur), y compris en tenant compte de la présence de la première place de stationnement et du local poubelles. Les recourants, dont on peut d’ailleurs se demander s’ils disposent d’un intérêt à soulever un tel grief - les normes imposant au constructeur la création d’un nombre déterminé de places de stationnement n’ayant pas vocation à protéger les propriétaires voisins et ceux-ci n’expliquant pas ni ne démontrant que leur grief</w:t>
      </w:r>
    </w:p>
    <w:p>
      <w:r>
        <w:t>- 17/31 - A/413/2024 relatif à l’absence de fonctionnalité des places de stationnement véhicules serait susceptible d’exercer une quelconque influence sur leur situation de fait ou de droit en cas d’admission (cf dans ce sens arrêt du Tribunal fédéral 1P.290/2003 du 15 août 2003 consid. 3 et ATA/1078/2024 du 10 septembre 2024 consid. 2.7) -, se contentant de substituer leur appréciation à celle de l’instance spécialisée. Enfin, de jurisprudence constante, la problématique de « parking sauvage », outre qu’elle excède l’objet du litige en ce qu’elle porte sur une situation qui n’est pas de la compétence du tribunal, n’est pas de nature à influencer la légalité d’une autorisation de construire (ATA/896/2021 du 31 août 2021 consid. 6 ; ATA/1078/2024 précité).</w:t>
      </w:r>
    </w:p>
    <w:p>
      <w:r>
        <w:rPr>
          <w:b/>
        </w:rPr>
        <w:t>E. 23</w:t>
      </w:r>
    </w:p>
    <w:p>
      <w:r>
        <w:t>Les recourants font valoir que le projet dérogerait sur plusieurs aspects à la directive CSSP, en l’absence de voies d’accès et de zone de travail suffisantes pour les services de secours, plus particulièrement les pompiers. Cela soulevait également un problème d’équipement au sens de l’art. 22 LAT.</w:t>
      </w:r>
    </w:p>
    <w:p>
      <w:r>
        <w:rPr>
          <w:b/>
        </w:rPr>
        <w:t>E. 24</w:t>
      </w:r>
    </w:p>
    <w:p>
      <w:r>
        <w:t>Selon cette disposition, une autorisation de construire est délivrée notamment si le terrain est équipé (al. 2 let. b). Le droit fédéral et le droit cantonal peuvent poser d’autres conditions (al. 3).</w:t>
      </w:r>
    </w:p>
    <w:p>
      <w:r>
        <w:rPr>
          <w:b/>
        </w:rPr>
        <w:t>E. 25</w:t>
      </w:r>
    </w:p>
    <w:p>
      <w:r>
        <w:t>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bien-fonds est destiné (arrêt du Tribunal fédéral 1C_548/2021 du 24 février 2023 consid. 10.1.1 et les références citées).</w:t>
      </w:r>
    </w:p>
    <w:p>
      <w:r>
        <w:rPr>
          <w:b/>
        </w:rPr>
        <w:t>E. 26</w:t>
      </w:r>
    </w:p>
    <w:p>
      <w:r>
        <w:t>L’art. 19 al. 1 LAT précise qu’un terrain est réputé équipé lorsqu’il est desservi d’une manière adaptée à l’utilisation prévue notamment par des voies d’accès.</w:t>
      </w:r>
    </w:p>
    <w:p>
      <w:r>
        <w:rPr>
          <w:b/>
        </w:rPr>
        <w:t>E. 27</w:t>
      </w:r>
    </w:p>
    <w:p>
      <w:r>
        <w:t>Très exceptionnellement, le respect du principe de proportionnalité peut exiger d’autoriser une construction dont l’équipement ne répond pas complètement aux exigences habituelles de l’art. 19 al. 1 LAT. Il s’agit en fait de déterminer si l’intérêt public à l’inexistence ou à l’impossibilité d’assurer un équipement « normal » justifie véritablement d’empêcher la construction d’une parcelle, ce qui peut constituer une atteinte significative à la garantie de la propriété (arrêt du Tribunal fédéral 1C_548/2021 du 24 février 2023 consid. 10.1.1 et les références citées). Par ailleurs, l’art. 19 LAT comporte des notions indéterminées devant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1C_548/2021 du 24 février 2023 consid. 10.1.2 et les références citées).</w:t>
      </w:r>
    </w:p>
    <w:p>
      <w:r>
        <w:rPr>
          <w:b/>
        </w:rPr>
        <w:t>E. 28</w:t>
      </w:r>
    </w:p>
    <w:p>
      <w:r>
        <w:t>Au sens de ces deux dispositions, une voie d’accès est adaptée à l’utilisation prévue lorsqu’elle est suffisante d’un point de vue technique et juridique pour accueillir tout le trafic de la zone qu’elle dessert. Il faut aussi que la sécurité des usagers soit</w:t>
      </w:r>
    </w:p>
    <w:p>
      <w:r>
        <w:t>- 18/31 - A/413/2024 garantie sur toute sa longueur, que le revêtement soit adéquat en fonction du type de véhicules qui vont l’emprunter, que la visibilité et les possibilités de croisement soient suffisantes et que l’accès des services de secours (ambulances, service du feu) et de voirie soit assuré (ATF 121 I 65 consid. 3a et les arrêts cités ; arrêts du Tribunal fédéral 1C_471/2020 du 19 mai 2021 consid. 3.1 ; 1C_597/2020 du 9 octobre 2020 consid. 6.1 ; 1C_481/2018 du 20 mai 2020 consid. 7.1). Autrement dit, l’accès est de ce point de vue suffisant lorsqu’il présente des conditions de commodité et de sécurité tenant compte des besoins des constructions projetées.</w:t>
      </w:r>
    </w:p>
    <w:p>
      <w:r>
        <w:rPr>
          <w:b/>
        </w:rPr>
        <w:t>E. 29</w:t>
      </w:r>
    </w:p>
    <w:p>
      <w:r>
        <w:t>La loi n’impose toutefois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1C_304/2022 du 10 août 2023 consid. 4.1 ; 1C_471/2020 du 19 mai 2021 consid. 3.1 ; 1C_597/2020 du 9 octobre 2020 consid. 6.1 ; cf. aussi ATA/1102/2020 du 3 novembre 2020 consid. 3a).</w:t>
      </w:r>
    </w:p>
    <w:p>
      <w:r>
        <w:rPr>
          <w:b/>
        </w:rPr>
        <w:t>E. 30</w:t>
      </w:r>
    </w:p>
    <w:p>
      <w:r>
        <w:t>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fédéral1C_304/2022 du 10 août 2023 consid. 6.1 ; 1C_225/2017 du 16 janvier 2018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w:t>
      </w:r>
    </w:p>
    <w:p>
      <w:r>
        <w:rPr>
          <w:b/>
        </w:rPr>
        <w:t>E. 31</w:t>
      </w:r>
    </w:p>
    <w:p>
      <w:r>
        <w:t>A Genève, l’art. 96 RCI dispose que,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règlement d'application de la loi sur la prévention des sinistres, l'organisation et l'intervention des sapeurs-pompiers, du 25 juillet 1990 (ci-après : RPSSP ; al. 2).</w:t>
      </w:r>
    </w:p>
    <w:p>
      <w:r>
        <w:rPr>
          <w:b/>
        </w:rPr>
        <w:t>E. 32</w:t>
      </w:r>
    </w:p>
    <w:p>
      <w:r>
        <w:t>L'art. 7.2 de la directive n° 7 RPSSP a la même teneur que l’art. 96 RCI précité.</w:t>
      </w:r>
    </w:p>
    <w:p>
      <w:r>
        <w:rPr>
          <w:b/>
        </w:rPr>
        <w:t>E. 33</w:t>
      </w:r>
    </w:p>
    <w:p>
      <w:r>
        <w:t>Les autorités communales et cantonales disposent en ce domaine d’un important pouvoir d’appréciation (arrêt du Tribunal fédéral 1C_471/2020 du 19 mai 2021 consid. 3.1 ; 1C_242/2019 du 7 avril 2020 consid. 3.1 ; ATA/1102/2020 du 3 novembre 2020 consid. 3a et les arrêts cités).</w:t>
      </w:r>
    </w:p>
    <w:p>
      <w:r>
        <w:t>- 19/31 - A/413/2024</w:t>
      </w:r>
    </w:p>
    <w:p>
      <w:r>
        <w:rPr>
          <w:b/>
        </w:rPr>
        <w:t>E. 34</w:t>
      </w:r>
    </w:p>
    <w:p>
      <w:r>
        <w:t>La directive CSSP concernant les accès, surfaces de manoeuvre et d'appui pour les moyens d'intervention sapeurs-pompiers qui règle, au sens de l'art. 44 de la norme de protection incendie de l'association des établissements cantonaux d'assurance incendie (AEAI), les exigences de base concrètes concernant l'accessibilité des sapeurs-pompiers aux bâtiments et aménagements, précise enfin que, pour les bâtiments de faible hauteur, la surface d'appui du véhicule d'extinction doit être d'une largeur minimum de 6 m sur une longueur de 11 m. La longueur de la conduite déployée entre le véhicule d'extinction et l'entrée du bâtiment ne doit pas dépasser 80 m. En outre, le véhicule doit transporter une échelle portable.</w:t>
      </w:r>
    </w:p>
    <w:p>
      <w:r>
        <w:rPr>
          <w:b/>
        </w:rPr>
        <w:t>E. 35</w:t>
      </w:r>
    </w:p>
    <w:p>
      <w:r>
        <w:t>En l'espèce et pour rappel, le projet querellé vise la construction de quatre villas mitoyennes. Or, ce type d’habitation n’est pas visé par les art. 96 al. 1 RCI et 7.2 de la directive n° 7 du RPSSP. La police du feu, spécialisée en matière de sécurité incendie a en tout état préavisé favorablement le projet, confirmant que ce dernier et notamment son accès, était compatible avec les règles de sécurité incendie et la simple hypothèse d’un danger pour le voisinage ne saurait suffire à considérer que le projet serait problématique à cet égard. Le département a enfin rappelé que le projet autorisé avait été classé en degré d'assurance qualité n° 1 par la police du feu et qu’il n’était, partant, pas nécessaire de fournir un concept de sécurité incendie établi par un spécialiste en protection incendie (art. 5.1 de la directive AEAI assurance qualité en protection incendie). Dans ces conditions, le tribunal qui doit observer une certaine retenue pour éviter de substituer sa propre appréciation à celle des commissions de préavis pour autant que l'autorité inférieure suive l'avis de celles-ci, retiendra qu'en suivant le préavis favorable de l'autorité technique consultative, le département n'a pas fait un usage excessif ou abusif de son pouvoir d'appréciation. Aucunes dérogations aux art. 22 LAT, 96 al. 1 RCI, 7.2 de la directive n° 7 du RPSSP et de la directive CSSP, respectivement violations, ne sauraient dès lors être retenues.</w:t>
      </w:r>
    </w:p>
    <w:p>
      <w:r>
        <w:rPr>
          <w:b/>
        </w:rPr>
        <w:t>E. 36</w:t>
      </w:r>
    </w:p>
    <w:p>
      <w:r>
        <w:t>Les recourants soutiennent que le département aurait accordé une dérogation pour intervenir dans le domaine vital des arbres afin de permettre la réalisation de l’ouvrage projeté. Ils allèguent par ailleurs que l’autorisation serait contraire au droit car les plans visés ne varietur permettraient l’abattage de plus d’arbres que ce que prévoyait le préavis liant de l’OCAN, impactant l’intimité sur certaines parcelles.</w:t>
      </w:r>
    </w:p>
    <w:p>
      <w:r>
        <w:rPr>
          <w:b/>
        </w:rPr>
        <w:t>E. 37</w:t>
      </w:r>
    </w:p>
    <w:p>
      <w:r>
        <w:t>La loi sur la protection des monuments, de la nature et des sites du 4 juin 1976 (LPMNS - L - 4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w:t>
      </w:r>
    </w:p>
    <w:p>
      <w:r>
        <w:rPr>
          <w:b/>
        </w:rPr>
        <w:t>E. 38</w:t>
      </w:r>
    </w:p>
    <w:p>
      <w:r>
        <w:t>En application de cette disposition, le Conseil d’État a adopté le RCVA, qui a pour but d’assurer la conservation, à savoir la protection, le maintien et le</w:t>
      </w:r>
    </w:p>
    <w:p>
      <w:r>
        <w:t>- 20/31 - A/413/2024 renouvellement, de la végétation formant les éléments majeurs du paysage (art. 1 RCVA). Ce règlement est applicable aux arbres situés en dehors de la forêt, telle que définie à l’art. 2 LForêts, ainsi qu’aux haies vives et boqueteaux présentant un intérêt biologique ou paysager (art. 2 al. 1 RCVA). À teneur de l’art. 14 RCVA, les propriétaires, mandataires, requérants, constructeurs ou autres usagers de terrains sont tenus de veiller avec la plus grande attention à la préservation des arbres, haies vives et boqueteaux existants (al. 1). Il leur incombe : a) de traiter les arbres malades ou dépérissants ; b) de prendre, notamment lors de travaux, toutes précautions utiles pour assurer la survie des arbres, haies vives et boqueteaux, en se conformant aux directives édictées par le département ; c) d’appliquer les mesures arrêtées par le département destinées à prévenir et réparer les dégâts causés par des organismes nuisibles particulièrement dangereux (al. 2).</w:t>
      </w:r>
    </w:p>
    <w:p>
      <w:r>
        <w:rPr>
          <w:b/>
        </w:rPr>
        <w:t>E. 39</w:t>
      </w:r>
    </w:p>
    <w:p>
      <w:r>
        <w:t>Selon l’art. 3 RCVA, aucun arbre ne peut être abattu ou élagué, ni aucune haie vive ou aucun boqueteau coupé ou défriché, sans autorisation préalable du département, sous réserve de l’al. 2, lequel stipule que n’es pas soumis à autorisation l'abattage des arbres de moins de 45 cm de circonférence, mesurés à 1 m de hauteur du tronc.</w:t>
      </w:r>
    </w:p>
    <w:p>
      <w:r>
        <w:rPr>
          <w:b/>
        </w:rPr>
        <w:t>E. 40</w:t>
      </w:r>
    </w:p>
    <w:p>
      <w:r>
        <w:t>La « directive concernant les mesures à prendre lors de travaux à proximité des arbres » (version 1.0, août 2008) édictée par le département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+ 1m, de part et d’autre du tronc, et à la hauteur de l’arbre + 1m, tandis que le domaine de l’arbre (« l’espace nécessaire au développement optimal de celui-ci ») représente le double du rayon de la couronne, de part et d’autre du tronc, et à la hauteur de l’arbre + 1m (ch. 2).</w:t>
      </w:r>
    </w:p>
    <w:p>
      <w:r>
        <w:rPr>
          <w:b/>
        </w:rPr>
        <w:t>E. 41</w:t>
      </w:r>
    </w:p>
    <w:p>
      <w:r>
        <w:t>En principe, aucune intervention n’est autorisée à l’intérieur du domaine vital de l’arbre. « Une dérogation à ce principe n’est accordée qu’en cas d’impératif majeur,</w:t>
      </w:r>
    </w:p>
    <w:p>
      <w:r>
        <w:t>- 21/31 - A/413/2024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w:t>
      </w:r>
    </w:p>
    <w:p>
      <w:r>
        <w:rPr>
          <w:b/>
        </w:rPr>
        <w:t>E. 42</w:t>
      </w:r>
    </w:p>
    <w:p>
      <w:r>
        <w:t>Le tribunal et la chambre administrative ont confirmé à réitérées reprises que la dérogation envisagée par le ch. 2 de la directive précitée ne constituait pas une dérogation au sens de l'art. 3 LCI (JTAPI/1294/2022 du 23 novembre 2022 confirmé par ATA/633/2023 du 13 juin 2023 et les références citées ; cf également arrêt du Tribunal fédéral 1C_642/2022 du 7 novembre 2023).</w:t>
      </w:r>
    </w:p>
    <w:p>
      <w:r>
        <w:rPr>
          <w:b/>
        </w:rPr>
        <w:t>E. 43</w:t>
      </w:r>
    </w:p>
    <w:p>
      <w:r>
        <w:t>En l'espèce, force est d’admettre, au vu de ce qui précède, qu’aucune dérogation au sens de l’art. 3 LCI n’a été accordée en lien avec les arbres et leur domaine vital. Il ne ressort pour le surplus pas des plans visés ne varietur que l’abattage d'arbres non visés dans le préavis liant de l'OCAN serait envisagé, étant précisé que l’abattage du cèdre situé à proximité de l'entrée a non seulement été dûment autorisé le ______ 2021 par décision n° 15_____ mais qu’il y est fait expressément référence dans ledit préavis liant, ce qui renouvelle, de fait, l’autorisation précitée, s’agissant du même office concerné. L’on rappellera encore que cet abattage avait été autorisé pour des raisons sanitaires et non pas en lien avec le projet de construction querellé. Quant aux autres plantations cerclées de bleu par les recourants, respectivement la haie, le département a expliqué qu’elles n’entraient pas dans le champ d’application de l’art. 3 al. 1 RCVA, en raison de leur essence et/ou dimension, de sorte que leur abattage n’était pas soumis à autorisation, ce que viennent confirmer les préavis de l’OCAN. Les recourants ne démontrent pas le contraire. Partant, aucune violation du RCVA ne saurait être retenue.</w:t>
      </w:r>
    </w:p>
    <w:p>
      <w:r>
        <w:t>S’agissant enfin de la perte de l’intimité offerte par la végétation en limite de parcelle, celle-ci n’est pas protégée en droit public, si ce n'est de façon indirecte par le biais des règles de police des constructions (distances aux limites et entre bâtiments, hauteurs maximales, notamment ; arrêts du Tribunal fédéral 1C_279/2017 du 27 mars 2018 consid. 4.5.2 ; 1C_337/2015 précité consid. 6.2.2 et les références citées ; ATA/1158/2018 du 30 octobre 2018). Comme relevé par le département, les recourants restent au demeurant libres de prévoir sur leur parcelle une arborisation ou tout autre écran végétal.</w:t>
      </w:r>
    </w:p>
    <w:p>
      <w:r>
        <w:rPr>
          <w:b/>
        </w:rPr>
        <w:t>E. 44</w:t>
      </w:r>
    </w:p>
    <w:p>
      <w:r>
        <w:t>En conclusion, il résulte des considérants qui précèdent, que le département n'a accordé aucune dérogation au sens propre du terme en l’espèce, de sorte que le</w:t>
      </w:r>
    </w:p>
    <w:p>
      <w:r>
        <w:t>- 22/31 - A/413/2024 choix de la voie de la procédure accélérée n'est pas critiquable. Aucune des violations alléguées par les recourants n’est par ailleurs à déplorer.</w:t>
      </w:r>
    </w:p>
    <w:p>
      <w:r>
        <w:rPr>
          <w:b/>
        </w:rPr>
        <w:t>E. 45</w:t>
      </w:r>
    </w:p>
    <w:p>
      <w:r>
        <w:t>Les recourants font encore valoir que le projet viole les art. 3 al. 3 LCI et 16 al. 2 RCI dans la mesure où il avait subi des modifications essentielles consistant notamment en la modification de l’implantation du bâtiment, des aménagements extérieurs (modifications des aménagements paysagers et des surfaces carrossables, suppression des patios, relocalisation des PAC, déplacement des terrasses) et intérieurs (construction de fenêtres dans les salles d’eau en pignon, suppression du tracé de l’escalier de la coupe F-F, compression du parking) et à l’ajout d’un local à poubelles, sans que toutes les instances de préavis ne soient à nouveau consultées à leur sujet. Or, en particulier, l’incidence de ces modifications sur l'appréciation du projet par le SABRA et la Police du feu n’était pas à exclure, notamment sur le plan du bruit et de la sécurité incendie. Le dossier d'autorisation de construire présentait ainsi d'importantes lacunes. Il en découlait également une violation de l’art. 11LPE et de l’OPB sous l'angle du principe de prévention et de l'obligation faite aux autorités d'évaluer les immissions de bruit extérieur produites par les nouvelles installations. Le département avait par ailleurs abusé de son pouvoir d’appréciation en écartant, sans justifier d’aucun intérêt public prépondérant, les préavis de la commune qui ne faisait que rappeler les exigences ressortant de son plan directeur communal. Ils critiquent enfin le dernier préavis de la CA et allèguent également une violation de l’art. 15 LCI.</w:t>
      </w:r>
    </w:p>
    <w:p>
      <w:r>
        <w:rPr>
          <w:b/>
        </w:rPr>
        <w:t>E. 46</w:t>
      </w:r>
    </w:p>
    <w:p>
      <w:r>
        <w:t>À teneur de l’art. 3 al. 3 LCI, les demandes d’autorisation sont soumises, à titre consultatif, au préavis des communes, des départements et des organismes intéressés. L’autorité de décision n’est pas liée par ces préavis (…).</w:t>
      </w:r>
    </w:p>
    <w:p>
      <w:r>
        <w:rPr>
          <w:b/>
        </w:rPr>
        <w:t>E. 47</w:t>
      </w:r>
    </w:p>
    <w:p>
      <w:r>
        <w:t>Le département sollicite le préavis des autres départements ainsi que de ses propres services pour les objets entrant dans leurs compétences. Il peut également consulter les éventuels tiers intéressés (art. 16 al. 1 RCI). Les communes intéressées sont également appelées à donner leur préavis. Celui-ci doit être transmis au département dans les délais prévus par l'art. 4 de la loi. Le silence de la commune vaut approbation sans réserve (art. 16 al. 2 RCI).</w:t>
      </w:r>
    </w:p>
    <w:p>
      <w:r>
        <w:rPr>
          <w:b/>
        </w:rPr>
        <w:t>E. 48</w:t>
      </w:r>
    </w:p>
    <w:p>
      <w:r>
        <w:t>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49</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w:t>
      </w:r>
    </w:p>
    <w:p>
      <w:r>
        <w:t>- 23/31 - A/413/2024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50</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 51.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 52. La jurisprudence relative aux préavis de la CA retient qu’un préavis favorable n’a en principe pas besoin d’être motivé (ATA/665/2023 du 20 juin 2023 consid. 4.9 ; ATA/414/2017 du 11 avril 2017 consid. 7b confirmé par arrêt du Tribunal fédéral 1C_297/2017 du 6 décembre 2017 consid. 3.4.2).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JTAPI/861/2023 du 17 août 2023 consid. 17 et ss confirmé par ATA/206/2024 du 13 février 2024 et les références citées).</w:t>
      </w:r>
    </w:p>
    <w:p>
      <w:r>
        <w:t>- 24/31 - A/413/2024 53.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 54.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55.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(ATA/372/2020 du 16 avril 2020 consid. 4a et l'arrêt cité). La notion d'inconvénients graves est une notion juridique indéterminée qui laisse à l'autorité une liberté d'appréciation et n'est limitée que par l'excès ou l'abus de pouvoir. La chambre de céans peut revoir librement l'interprétation des notions</w:t>
      </w:r>
    </w:p>
    <w:p>
      <w:r>
        <w:t>- 25/31 - A/413/2024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(ATA/69/2021 du 19 janvier 2021 consid. 5a). 56.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 57.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58.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59. Selon l'art. 12 LPE, les émissions sont notamment limitées par l'application des valeurs limites d'émissions (al. 1 let. a). Les limitations figurent dans des ordonnances ou, pour les cas que celles-ci n'ont pas visés, dans des décisions fondées directement sur la LPE (al. 2). 60.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w:t>
      </w:r>
    </w:p>
    <w:p>
      <w:r>
        <w:t>- 26/31 - A/413/2024 pas les valeurs de planification dans le voisinage ; l'autorité qui délivre l'autorisation peut exiger un pronostic de bruit (art. 25 al. 1 LPE). 61. L'OPB a pour but de protéger contre le bruit nuisible ou incommodant (art. 1 al. 1). Elle régit, entre autres, la limitation des émissions de bruit extérieur produites par l'exploitation d'installations nouvelles ou existantes au sens de l'art. 7 de la LPE (art. 1 al. 2 let. a). 62. 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63. 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L’art. 15 LCI reconnaît ainsi au département un large pouvoir d'appréciation. Ce dernier n'est limité que par l'excès ou l'abus du pouvoir d'appréciation (ATA/383/2023 du 18 avril 2023 consid. 5.3.1). 64. En l’occurrence, le projet querellé a fait l’objet de plusieurs modifications avant d’être autorisé, dans sa troisième version. A teneur du dossier, le SABRA et la police se sont uniquement déterminés (favorablement sous conditions) sur la première version du projet, étant précisé que ses deuxième et troisième versions prévoyaient deux blocs d'habitations au lieu d'un seul, la création d’une zone poubelles à l’entrée de la parcelle et l’abandon des couverts à voitures, respectivement des modifications mineures, en particulier concernant la disposition</w:t>
      </w:r>
    </w:p>
    <w:p>
      <w:r>
        <w:t>- 27/31 - A/413/2024 du parking, de la PAC et des terrasses. Cela étant, dans sa duplique du 3 juillet 2024, le département a expliqué avoir, à toutes fins utiles, soumis les plans dans leur version autorisée au SABRA, qui avait confirmé que selon l'évaluation acoustique réalisée, les PAC respecteraient les valeurs de planification et le principe de la LPE au droit des fenêtres ouvertes des locaux sensibles au bruit les plus exposés (villas contiguës) et que le local poubelles, qui n’était pas un éco-point, ne devrait pas provoquer de dérangement pour le voisinage au vu de la distance le séparant des voisins et de la fréquence de dépose des déchets pour une utilisation normale avec le respect des heures de repos pour le voisinage. Ainsi, la valeur du préavis du SABRA du 26 mai 2023 n'est en rien modifiée étant précisé que la condition qu'il y a imposée et qui est reprise dans l'autorisation de construire (cf. chiffre 8 de la décision) reste applicable. Quant à l’incidence des modifications précitées, en particulier la zone plus compacte de manœuvre et l’emplacement du local poubelles à l'entrée du chemin d'accès, sur la conformité du projet avec les normes applicables en matière de prévention du feu et, partant, sur l'analyse et la valeur du préavis rendu par la police du feu, il est renvoyé au considérant 35 en droit dont on peut déduire que ces modifications sont sans incidence sur le préavis de la police du feu. Les recourants ne font en tout état que formuler des hypothèses s’agissant des nuisances que seraient susceptibles de générer les modifications du projet dans ses versions 2 et 3. S’agissant du local poubelles, de dimension réduite (2,07 x 2,1 m) et destiné à accueillir trois containers pour les déchets de quatre villas, il ne saurait être assimilé à une installation fixe au sens de l'art. 2 al. 1 OPB, soumis aux prescriptions fédérales en matière de protection contre le bruit. A cet égard, le cas d’espèce diffère en tous points de celui de l’arrêt du Tribunal fédéral 1A.36/2000 du 5 décembre 2000 cité par les recourants qui concernait l’un des dix écopoints d’une commune de plus de 5'000 habitants. Les intéressés ne démontrent en tout état, ni même n'allèguent, que l'exploitation d'un tel local serait susceptible de produire du bruit extérieur, hormis celui lié à l’usage ponctuel des containers par les habitants de quatre villas, respectivement un impact significatif sur l’accès à la parcelle. Le département pouvait dès lors à juste titre retenir que l'ajout de ce local poubelles n'était pas une modification essentielle du projet, de nature à modifier l'appréciation du SABRA et/ou de la police du feu et, partant, ne pas requérir leur préavis à ce sujet. Quant aux PAC, relocalisées à l’intérieur des locaux techniques afin de supprimer leur impact visuel, on peine à saisir quelles nuisances qui n’auraient pas déjà été prises en compte par le SABRA, elles génèreraient pour les recourants. Leur déplacement à l’intérieur améliorera au contraire la situation acoustique à leur égard. Quoiqu’il en soit, comme rappelé ci-dessus, le SABRA a confirmé que les PAC respectaient les valeurs de planification et le principe de la LPE au droit des fenêtres ouvertes des locaux sensibles au bruit les plus exposés (villas contiguës) et que la valeur de son préavis n'était en rien modifiée du fait de leur déplacement, ce dont les recourants ont été informés. Le tribunal constate enfin qu’à l’exception de la commune, l’ensemble des instances consultées ont émis des préavis favorables, en particulier l’OCAN et la</w:t>
      </w:r>
    </w:p>
    <w:p>
      <w:r>
        <w:t>- 28/31 - A/413/2024 CA, lesquels sont pour rappel composés de spécialistes disposant de connaissances et compétences utiles pour se prononcer en particulier sur les questions de préservation de la nature et du paysage, d’esthétique et d’intégration dans le quartier. Leurs préavis apparaissent ainsi tout aussi déterminants que celui de la commune, étant de surcroit relevé qu’un projet de construction conforme au droit cantonal ne saurait être refusé au seul motif qu’il contreviendrait à son PDCom, et rien ne laisse supposer que ces instances auraient pris en compte des éléments sans pertinence pour forger leur conviction ou qu'elles n'auraient pas procédé à l’examen de la demande avec soin et diligence. L’on relèvera encore qu’un préavis favorable n’a pas besoin d’être motivé. Dans ces conditions, il ne peut être reproché au DT d’avoir suivi les préavis favorables des instances consultées, en particulier celui de l’OCAN et de la CA, et d’avoir délivré l’autorisation requise. Le fait qu'il a, en tenant compte de tous les intérêts en présence, dont celui à la réalisation de logements et celui privé de la société intimée à valoriser sa parcelle, apprécié la situation différemment que les recourants ne permet en particulier pas de retenir qu'il se serait fondé sur des critères et considérations dénués de pertinence et étrangers au but visé par la législation. Partant, le tribunal, qui doit faire preuve de retenue et respecter le pouvoir d’appréciation conféré au département, ne saurait en corriger le résultat en fonction d'une autre conception, sauf à statuer en opportunité, ce que la loi lui interdit (art. 61 al. 2 LPA). En conclusion, l'instruction du dossier ne présente aucune lacune et les griefs de violation des art. 3 al. 3 LCI et 16 al. 2 RCI, comme celui de violations des art. 11 LPE, 15 LCI et de l’OPB doivent être écartés. 65. Les recourants allèguent encore la violation des art. 72, 73 et 60 ss LCI au motif que la fenêtre de la cuisine de la villa 16______ ouvre directement (à 1.43 mètres) sur une place de stationnement, que le gabarit légal de 6.02 m serait dépassé, dès lors que l’acrotère culminerait à 6,55 m, sans aucune approbation de la CA et enfin que la présence d'une place de stationnement à seulement 1.43 mètres d'une fenêtre confirme que la fragmentation par quatre est excessive pour une si petite surface et que l'implantation de deux à trois villas permettrait une meilleure habitabilité et qualité du projet. 66. En 5ème zone de construction, le gabarit de hauteur de la construction litigieuse est réglé par les art. 60 et ss LCI. 67. À teneur de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68. L'art. 61 al. 2 LCI indique qu'à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(H D + 1) (al 3). La hauteur de la ligne verticale du gabarit ne peut dépasser nulle part 10 m</w:t>
      </w:r>
    </w:p>
    <w:p>
      <w:r>
        <w:t>- 29/31 - A/413/2024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 69. Pour le calcul du gabarit, le point de référence au sol est mesuré conformément aux dispositions du plan d'aménagement ou des prescriptions du département ou, à défaut, à partir du niveau moyen du terrain naturel adjacent (art. 63 al. 1 LCI et art. 20 RCI). 70. En 5e zone, le gabarit est mesuré du niveau indiqué à l'art. 20 RCI et jusque au- dessus : a) de la faîtière pour les faces-pignons ; b) de la sablière ou du berceau pour les autres faces ; c) de la dalle brute de couverture du dernier étage lorsqu'il s'agit d'un toit plat. Toutefois, lorsque des lucarnes sont ouvertes dans la toiture, la hauteur du gabarit se mesure jusque au-dessus de celles-ci (art. 21 al. 2 RCI). 71. Les art. 72 et 73 LCI traitent des vues droites. A teneur de l’art. 72 LCI, les pièces servant à l’habitation de jour ou de nuit, les cuisines et les locaux où l’on travaille en permanence doivent être pourvus de baies ouvrant directement sur l’extérieur et disposant d’un champ de vue libre dénommé vue droite. Quant à l’art. 73 LCI, il précise que la longueur des vues droites se calcule de la même manière que les distances entre constructions (art. 70) et qu’elle est mesurée, pour chaque baie, perpendiculairement à la façade et sur une longueur de 4 m au moins. Le champ visuel d’une baie doit s’étendre en outre sur toute la hauteur et toute la largeur de cette baie. 72. En l'espèce, aucune violation des art. 60 et ss LCI n’est à déplorer. Comme exposé par le département, le projet autorisé se situant en zone 5, la hauteur de la ligne verticale du gabarit ne se calcule pas depuis le sol jusqu'au niveau de l'acrotère, mais jusqu'au niveau de la dalle brute de couverture. Or, en l'occurrence, la hauteur de celle-ci se situe à une altitude de 432.66 m selon la coupe du géomètre, soit à 5.93 m du niveau du sol (situé à 426.73m). Le gabarit théorique du bâtiment (6.02 m) est dès lors respecté et c’est ainsi de manière parfaitement fondée que la DAC, qui doit précisément analyser cet aspect, a rendu un préavis favorable sans observation le 2 novembre 2023. Le grief en lien avec les art. 72 et 73 LCI est enfin irrecevable, dès lors que, les recourants ne sauraient tirer aucun avantage pratique et direct à se plaindre de la luminosité et de l'aération dans les cuisines des futurs occupants. Quant à l’argument que la violation de ces dispositions aurait pour conséquence que 2 des 8 places de stationnement serait supprimées à terme vu leur impraticabilité, il n’est que pure supposition. 73. En tous points mal fondé, le recours sera rejeté. 74. En application des art. 87 al. 1 LPA et 1 et 2 du règlement sur les frais, émoluments et indemnités en procédure administrative du 30 juillet 1986 (RFPA - E 5 10.03), les recourants, pris conjointement et solidairement, qui succombent, sont</w:t>
      </w:r>
    </w:p>
    <w:p>
      <w:r>
        <w:t>- 30/31 - A/413/2024 condamnés au paiement d’un émolument s'élevant à CHF 1'800.- ; il est partiellement couvert par l’avance de frais versée à la suite du dépôt du recours. Aucune indemnité de procédure ne sera allouée (art. 87 al. 2 LPA), les intimés n'étant pas représentés par un avocat et n'ayant pas conclu aux versements de dépens.</w:t>
      </w:r>
    </w:p>
    <w:p>
      <w:r>
        <w:t>- 31/31 - A/413/2024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