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JTAPI/1217/2024 vom 12. Dezember 2024</w:t>
      </w:r>
    </w:p>
    <w:p>
      <w:r>
        <w:t>GE Cour de justice, 2024-12-12, FR</w:t>
      </w:r>
    </w:p>
    <w:p>
      <w:r>
        <w:rPr>
          <w:b/>
        </w:rPr>
        <w:t xml:space="preserve">Quelle: </w:t>
      </w:r>
      <w:r>
        <w:t>https://mcp.opencaselaw.ch/entscheid/ge_gerichte_JTAPI_1217_2024</w:t>
      </w:r>
    </w:p>
    <w:p>
      <w:r>
        <w:t>FR: GE_GERICHTE JTAPI/1217/2024 du 12 décembre 2024</w:t>
      </w:r>
    </w:p>
    <w:p>
      <w:r>
        <w:t>IT: GE_GERICHTE JTAPI/1217/2024 del 12 dicembre 2024</w:t>
      </w:r>
    </w:p>
    <w:p>
      <w:pPr>
        <w:pStyle w:val="Heading2"/>
      </w:pPr>
      <w:r>
        <w:t>Erwägungen</w:t>
      </w:r>
    </w:p>
    <w:p>
      <w:r>
        <w:rPr>
          <w:b/>
        </w:rPr>
        <w:t>E. 1</w:t>
      </w:r>
    </w:p>
    <w:p>
      <w:r>
        <w:t>Le Tribunal administratif de première instance connaît des recours dirigés, comme en l’espèce, contre les décisions prises par la ville, en application de la loi sur la gestion des déchets du 20 mai 1999 (LGD - L 1 20) (art. 115 al. 2 et 116 al. 1 de la loi sur l’organisation judiciaire du 26 septembre 2010 - LOJ - E 2 05 ; art. 50 LGD).</w:t>
      </w:r>
    </w:p>
    <w:p>
      <w:r>
        <w:t>- 4/9 - A/1128/2024</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5</w:t>
      </w:r>
    </w:p>
    <w:p>
      <w:r>
        <w:t>Les arguments formulés par les parties à l’appui de leurs conclusions respectives seront repris et discutés dans la mesure utile (ATF 145 IV 99 consid. 3.1; arrêt du Tribunal fédéral 1C_136/2021 du 13 janvier 2022 consid. 2.1 et les réf.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6</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7</w:t>
      </w:r>
    </w:p>
    <w:p>
      <w:r>
        <w:t>La recourante conteste le principe de l'amende querellée, subsidiairement sa quotité.</w:t>
      </w:r>
    </w:p>
    <w:p>
      <w:r>
        <w:rPr>
          <w:b/>
        </w:rPr>
        <w:t>E. 8</w:t>
      </w:r>
    </w:p>
    <w:p>
      <w:r>
        <w:t>La LGD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 (art. 1 LGD).</w:t>
      </w:r>
    </w:p>
    <w:p>
      <w:r>
        <w:rPr>
          <w:b/>
        </w:rPr>
        <w:t>E. 9</w:t>
      </w:r>
    </w:p>
    <w:p>
      <w:r>
        <w:t>La collecte, le transport et l’élimination des déchets ménagers sont organisés et assurés par les communes, sans taxes pour les ménages (art. 12 al. 1 LGD). Les communes définissent l’infrastructure de collecte et fixent la fréquence des levées</w:t>
      </w:r>
    </w:p>
    <w:p>
      <w:r>
        <w:t>- 5/9 - A/1128/2024 en fonction des besoins (art. 12 al. 2 LGD). Elles peuvent édicter des règlements particuliers (art. 12 al. 4 LGD).</w:t>
      </w:r>
    </w:p>
    <w:p>
      <w:r>
        <w:rPr>
          <w:b/>
        </w:rPr>
        <w:t>E. 10</w:t>
      </w:r>
    </w:p>
    <w:p>
      <w:r>
        <w:t>Selon l'art. 5 RGD, les communes sont tenues d’informer la population sur les emplacements et les horaires des collectes sélectives et sur les modes d’élimination des déchets ménagers en vigueur sur leur territoire (al. 1), et sont habilitées à édicter des règlements ou directives à ces fins (al. 2).</w:t>
      </w:r>
    </w:p>
    <w:p>
      <w:r>
        <w:rPr>
          <w:b/>
        </w:rPr>
        <w:t>E. 11</w:t>
      </w:r>
    </w:p>
    <w:p>
      <w:r>
        <w:t>Les communes sont tenues de collecter, de transporter et d’éliminer les déchets ménagers conformément au plan cantonal de gestion des déchets (art. 16 al. 1 RGD). Elles organisent des infrastructures et la logistique des collectes sélectives des déchets ménagers de manière à couvrir l'ensemble du territoire communal et à desservir toute la population ; elles peuvent également procéder à des collectes spéciales au porte-à-porte pour les déchets encombrants ou compostables ou d'autres déchets collectés séparément (art. 16 al. 2 RGD).</w:t>
      </w:r>
    </w:p>
    <w:p>
      <w:r>
        <w:rPr>
          <w:b/>
        </w:rPr>
        <w:t>E. 12</w:t>
      </w:r>
    </w:p>
    <w:p>
      <w:r>
        <w:t>Les communes peuvent édicter des règlements communaux sur le bon fonctionnement de leurs infrastructures de collecte et sur leur gestion des déchets ménagers (art. 17 al. 1 RGD). Les règlements communaux peuvent prévoir les sanctions et les mesures prévues dans la loi (art. 17 al. 2 RGD).</w:t>
      </w:r>
    </w:p>
    <w:p>
      <w:r>
        <w:rPr>
          <w:b/>
        </w:rPr>
        <w:t>E. 13</w:t>
      </w:r>
    </w:p>
    <w:p>
      <w:r>
        <w:t>La ville a adopté, le 25 janvier 2024, le règlement LC 21 911, entré en vigueur le 1er février 2024.</w:t>
      </w:r>
    </w:p>
    <w:p>
      <w:r>
        <w:rPr>
          <w:b/>
        </w:rPr>
        <w:t>E. 14</w:t>
      </w:r>
    </w:p>
    <w:p>
      <w:r>
        <w:t>Le règlement communal fixe les modalités de la collecte, du transport et de l’élimination des déchets urbains sur son territoire (art. 1 al. 1). Il s'applique à tous les détenteurs de déchets urbains du territoire de la commune (art. 1 al. 2).</w:t>
      </w:r>
    </w:p>
    <w:p>
      <w:r>
        <w:rPr>
          <w:b/>
        </w:rPr>
        <w:t>E. 15</w:t>
      </w:r>
    </w:p>
    <w:p>
      <w:r>
        <w:t>Les entreprises sont tenues de fournir les conteneurs nécessaires au tri et à la collecte des déchets en nombre suffisant, de manière à garantir un conditionnement conforme aux prescriptions du service en charge de la collecte des déchets (23 al. 1 du règlement LC 21 911).</w:t>
      </w:r>
    </w:p>
    <w:p>
      <w:r>
        <w:rPr>
          <w:b/>
        </w:rPr>
        <w:t>E. 16</w:t>
      </w:r>
    </w:p>
    <w:p>
      <w:r>
        <w:t>A teneur de l'art. 23 al. 4 du règlement LC 21 911, les conteneurs portent le numéro de l’immeuble, le nom de la rue dont ils proviennent, le cas échéant le nom de l’entreprise, le nom du prestataire privé et la nature du contenu (pictogramme visible symbolisant le type de déchet).</w:t>
      </w:r>
    </w:p>
    <w:p>
      <w:r>
        <w:rPr>
          <w:b/>
        </w:rPr>
        <w:t>E. 17</w:t>
      </w:r>
    </w:p>
    <w:p>
      <w:r>
        <w:t>Selon les art. 43 al. 1 LGD (repris à l'art. 33 al. 1 du règlement LC 21 911), est passible d’une amende administrative de CHF 200.- à CHF 400'000.- tout contrevenant : a) à la LGD (al. a), ; b) aux règlements et arrêtés édictés en vertu de la LGD ; c) aux ordres donnés par l’autorité compétente dans la limite de la LGD et des règlements et arrêtés édictés en vertu de celle-ci.</w:t>
      </w:r>
    </w:p>
    <w:p>
      <w:r>
        <w:rPr>
          <w:b/>
        </w:rPr>
        <w:t>E. 18</w:t>
      </w:r>
    </w:p>
    <w:p>
      <w:r>
        <w:t>Les amendes peuvent être infligées tant à des personnes morales qu'à des personnes physiques (art. 43 al. 2 LGD).</w:t>
      </w:r>
    </w:p>
    <w:p>
      <w:r>
        <w:rPr>
          <w:b/>
        </w:rPr>
        <w:t>E. 19</w:t>
      </w:r>
    </w:p>
    <w:p>
      <w:r>
        <w:t>Les contraventions sont constatées par les agents de la force publique et tous autres agents ayant mandat de veiller à l’observation de la loi (art. 44 al. 1 LGD). Les amendes sont infligées par l’autorité compétente sans préjudice de plus fortes</w:t>
      </w:r>
    </w:p>
    <w:p>
      <w:r>
        <w:t>- 6/9 - A/1128/2024 peines en cas de crimes, délits ou contraventions prévus par la loi fédérale sur la protection de l’environnement et de tous dommages-intérêts éventuels (art. 44 al. 2 LGD).</w:t>
      </w:r>
    </w:p>
    <w:p>
      <w:r>
        <w:rPr>
          <w:b/>
        </w:rPr>
        <w:t>E. 20</w:t>
      </w:r>
    </w:p>
    <w:p>
      <w:r>
        <w:t>Les agents de la police municipale sont notamment chargés de la prévention et de la répression en matière de propreté, notamment en ce qui concerne les détritus, les déjections canines, les tags et l’affichage sauvage (art. 5 al. 2 de la loi sur les agents de la police municipale, les contrôleurs municipaux du stationnement et les gardes auxiliaires des communes du 20 février 2009 - LAPM - F 1 07). Le Conseil d’État fixe, après consultation des communes, les prescriptions cantonales de police que les agents de la police municipale sont habilités à faire appliquer, par délégation de pouvoir de l'État, relevant notamment de la sécurité, la propreté et la salubrité publiques (art. 10 let. a ch. 1 LAPM).</w:t>
      </w:r>
    </w:p>
    <w:p>
      <w:r>
        <w:rPr>
          <w:b/>
        </w:rPr>
        <w:t>E. 21</w:t>
      </w:r>
    </w:p>
    <w:p>
      <w:r>
        <w:t>Le Conseil d'État a dans ce cadre prévu que les agents de la police municipale sont habilités à faire appliquer les dispositions de la LGD et du RGD (art. 8 let. l du règlement sur les agents de la police municipale du 28 octobre 2009 - RAPM - F 1 07.01).</w:t>
      </w:r>
    </w:p>
    <w:p>
      <w:r>
        <w:rPr>
          <w:b/>
        </w:rPr>
        <w:t>E. 22</w:t>
      </w:r>
    </w:p>
    <w:p>
      <w:r>
        <w:t>Les amendes administratives prévues par la législation cantonale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w:t>
      </w:r>
    </w:p>
    <w:p>
      <w:r>
        <w:rPr>
          <w:b/>
        </w:rPr>
        <w:t>E. 23</w:t>
      </w:r>
    </w:p>
    <w:p>
      <w:r>
        <w:t>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w:t>
      </w:r>
    </w:p>
    <w:p>
      <w:r>
        <w:rPr>
          <w:b/>
        </w:rPr>
        <w:t>E. 24</w:t>
      </w:r>
    </w:p>
    <w:p>
      <w:r>
        <w:t>Selon la jurisprudence constante, l'administration doit faire preuve de sévérité afin d'assurer le respect de la loi et jouit d'un large pouvoir d'appréciation pour infliger une amende (ATA/403/2019 du 9 avril 2019 consid. 7c ; ATA/1277/2018 du 27 novembre 2018 consid. 6d). Le juge ne la censure qu'en cas d'excès (ATA/403/2019 précité ; ATA/1277/2018 précité). Enfin, l'amende doit respecter le principe de la proportionnalité garanti par l'art. 36 al. 3 de la Constitution fédérale de la Confédération suisse du 18 avril 1999 (Cst.- RS 101) (ATA/968/2020 précité ; ATA/440/2019 précité).</w:t>
      </w:r>
    </w:p>
    <w:p>
      <w:r>
        <w:rPr>
          <w:b/>
        </w:rPr>
        <w:t>E. 25</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w:t>
      </w:r>
    </w:p>
    <w:p>
      <w:r>
        <w:t>- 7/9 - A/1128/2024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ATA/174/2023 précité consid. 2.1.5 et les arrêts cités).</w:t>
      </w:r>
    </w:p>
    <w:p>
      <w:r>
        <w:rPr>
          <w:b/>
        </w:rPr>
        <w:t>E. 26</w:t>
      </w:r>
    </w:p>
    <w:p>
      <w:r>
        <w:t>En l'espèce, la ville reproche à la recourante d'avoir déposé quatre conteneurs sans mention du numéro de l’immeuble, du nom de la rue dont ils proviennent ni de la nature du contenu (pictogramme visible symbolisant le type de déchet), sur la voie publique. A l’appui de ses allégations, elle produit ses constats d'infraction manuel et informatisé ainsi qu'une photographie non datée de quatre conteneurs du groupe D______ sur la voie publique, sans identification possible. La recourante conteste ces faits et produit à l'appui de ses assertions, trois photographies non datées de conteneurs du groupe D______ où il est mentionné "C______, rue du Rhône 8 – Passage des Lions" dont l'un avec le pictogramme "incinérables", un autre sans pictogramme ainsi qu'une autre photographie du 28 septembre 2023 d'un conteneur du groupe D______, déposé dans la rue du Rhône, sans mention spécifique. En analysant les pièces du dossier et par faisceau d'indices, le tribunal arrive à la conclusion que la recourante a bel et bien commis les faits reprochés. S'il avait certes été préférable que les photographies de la ville soient datées et aient enregistré le nom de la rue où se trouvaient les conteneurs litigieux, ces dernières, cumulées aux constats complets rédigés par son employé, permettent d'arriver à la conclusion que la recourante a déposé des conteneurs sans l'identification et le pictogramme adéquat sur la voie publique, le 27 février 2024 à 17h40. A contrario, seules les photographies, pour la plupart non datées, produites par la recourante ne permettent pas de constater le contraire. A noter que sur la photographie datée du</w:t>
      </w:r>
    </w:p>
    <w:p>
      <w:r>
        <w:rPr>
          <w:b/>
        </w:rPr>
        <w:t>E. 28</w:t>
      </w:r>
    </w:p>
    <w:p>
      <w:r>
        <w:t>Mal fondé, le recours doit être rejeté.</w:t>
      </w:r>
    </w:p>
    <w:p>
      <w:r>
        <w:rPr>
          <w:b/>
        </w:rPr>
        <w:t>E. 29</w:t>
      </w:r>
    </w:p>
    <w:p>
      <w:r>
        <w:t>En application des art. 87 al. 1 LPA et 1 et 2 du règlement sur les frais, émoluments et indemnités en procédure administrative du 30 juillet 1986 (RFPA - E 5 10.03), la recourante qui succombe, est condamnée au paiement d’un émolument s'élevant</w:t>
      </w:r>
    </w:p>
    <w:p>
      <w:r>
        <w:t>- 8/9 - A/1128/2024 à CHF 400.-, il est partiellement couvert par l’avance de frais versée à la suite du dépôt du recours.</w:t>
      </w:r>
    </w:p>
    <w:p>
      <w:r>
        <w:rPr>
          <w:b/>
        </w:rPr>
        <w:t>E. 30</w:t>
      </w:r>
    </w:p>
    <w:p>
      <w:r>
        <w:t>Vu l’issue du litige, aucune indemnité de procédure ne sera allouée (art. 87 al. 2 LPA).</w:t>
      </w:r>
    </w:p>
    <w:p>
      <w:r>
        <w:t>- 9/9 - A/1128/2024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