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JTAPI/1217/2023 vom 2. November 2023</w:t>
      </w:r>
    </w:p>
    <w:p>
      <w:r>
        <w:t>GE Cour de justice, 2023-11-02, FR</w:t>
      </w:r>
    </w:p>
    <w:p>
      <w:r>
        <w:rPr>
          <w:b/>
        </w:rPr>
        <w:t xml:space="preserve">Quelle: </w:t>
      </w:r>
      <w:r>
        <w:t>https://mcp.opencaselaw.ch/entscheid/ge_gerichte_JTAPI_1217_2023</w:t>
      </w:r>
    </w:p>
    <w:p>
      <w:r>
        <w:t>FR: GE_GERICHTE JTAPI/1217/2023 du 2 novembre 2023</w:t>
      </w:r>
    </w:p>
    <w:p>
      <w:r>
        <w:t>IT: GE_GERICHTE JTAPI/1217/2023 del 2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- 8/14 - A/869/2023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La recourante fait tout d'abord valoir un grief de nature formelle lié à la violation de son droit d'être entendu. Elle prétend que le préavis de la CA du 21 février 2022, ayant été qualifié par le département de « plus requis » - et non pas de « non requis » -, aurait pour conséquence qu'il ne lui serait pas opposable et que le préavis de la DAC du 26 octobre 2022 ne lui aurait pas été transmis, l'empêchant de se déterminer à son sujet avant le prononcé de la décision querellée.</w:t>
      </w:r>
    </w:p>
    <w:p>
      <w:r>
        <w:rPr>
          <w:b/>
        </w:rPr>
        <w:t>E. 5</w:t>
      </w:r>
    </w:p>
    <w:p>
      <w:r>
        <w:t>Tel que garanti par les art. 29 al. 2 la Constitution fédérale suisse du 18 avril 1999 (Cst. - RS 101) et 6 par. 1 de la Convention de sauvegarde des droits de l’homme et des libertés fondamentales du 4 novembre 1950 (CEDH - RS 0.101) - qui n’a pas de portée différente dans ce contexte -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 138 I 484 consid. 2.1 ; 138 I 154 consid. 2.3.2 ; 137 I 195 consid. 2.3.1 ; arrêts du Tribunal fédéral 2C_374/2018 du 15 août 2018 consid. 3.2 ; 8C_472/2014 du 3 septembre 2015 consid. 4.1 ; ATA/80/2016 du 26 janvier 2016 consid. 2 ; ATA/134/2015 du 3 février 2015 ; ATA/66/2015 du 13 janvier 2015).</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w:t>
      </w:r>
    </w:p>
    <w:p>
      <w:r>
        <w:t>- 9/14 - A/869/2023 4.2.1 ; 5A_681/2014 du 14 avril 2015 consid. 31 ; ATA/289/ 2018 du 27 mars 2018 consid. 2b). Ce moyen doit dès lors être examiné en premier lieu (ATF 137 I 195 consid. 2.2).</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6</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t>- 10/14 - A/869/2023</w:t>
      </w:r>
    </w:p>
    <w:p>
      <w:r>
        <w:rPr>
          <w:b/>
        </w:rPr>
        <w:t>E. 7</w:t>
      </w:r>
    </w:p>
    <w:p>
      <w:r>
        <w:t>En l'espèce, s'agissant de la mention « plus requis » apparaissant sur la plateforme AC-DEMAT, celle-ci ne saurait avoir les effets que lui attribue la recourante. En effet, si la terminologie retenue exprime certes une idée de renonciation, il ne saurait cependant manifestement s'agir d'une renonciation à tout préavis de la CA, mais seulement d'une renonciation à exiger de cette instance qu'elle se prononce à nouveau sur le dossier, malgré les modifications apportées au gré des versions successives. De plus, il convient de garder à l'esprit que dans le système de la LCI, les préavis n'ont par principe qu'un caractère consultatif, hormis les cas où la loi exige la consultation de certaines instances de préavis (art. 3 al. 3 LCI). Dans cette mesure, si l'on peut reprocher à l'autorité un vice d'instruction dans le cas où elle ne recueillerait pas un préavis obligatoire de par la loi, on ne saurait par principe empêcher le département de recueillir des avis consultatifs non requis par la loi. En outre, il convient de prendre en compte que l'introduction de la plateforme AC- DEMAT a notamment pour objectifs de simplifier les démarches administratives pour les administrés et d'accroître la transparence quant à leur demandes d'autorisation de construire, ce qui amène à conclure, en toute logique, que les mentions indiquées sur cette plateforme présentent, avant tout, un caractère informatif et ne sauraient déployer des effets aussi contraignants que l'entend la recourante. Au surplus, le préavis de la CA du 21 février 2022 a été rendu dans le cadre de la procédure d'instruction et, à teneur du dossier, a été soumis à la recourante en date des 11 mars 2022, 28 mai 2022, 29 septembre 2022 afin de lui permettre de se déterminer à cet égard, ce qu'elle n'a fait dans aucun de ses courriers d'observations. La possibilité de faire valoir son droit d'être entendu au sujet de ce préavis lui a ainsi été offerte à plusieurs reprises, de sorte que l'on ne saurait ainsi admettre une violation de son droit d'être entendue sur cette base.</w:t>
      </w:r>
    </w:p>
    <w:p>
      <w:r>
        <w:t>S'agissant de l'absence de transmission du dernier préavis de la DAC du 26 octobre 2022 avant le prononcé de la décision de refus, il convient de garder à l'esprit que selon les plans des différentes versions du projet, celui-ci n'a pratiquement pas évolué entre le dépôt de la première et de la dernière version, dès lors qu'à teneur du dossier, seuls des éléments mineurs ont été modifiés. À cet égard, l'implantation des éléments assurant la contiguïté n'a notamment jamais été modifiée, malgré les remarques de la CA émises à l'occasion de son préavis défavorable du 21 février 2021, la recourante ayant même expressément indiqué au département, par courriers des 27 juin et 25 octobre 2022, que le projet serait maintenu en l'état. Dans cette mesure, tout semble indiquer que même si le département avait transmis le préavis du 26 octobre 2022 avant le prononcé de la décision de refus, selon toute vraisemblance, cela n'aurait pas modifié l'issue de la procédure d'instruction, dès lors que l'implantation du projet, notamment au sujet des éléments assurant la contiguïté des villas, n'a jamais été modifiée malgré les demandes formulées par les différentes instances de préavis, notamment la CA, au long de l'instruction du dossier. Ainsi, l'absence de transmission du préavis de la DAC du 26 octobre 2022 n'a manifestement pas eu de conséquences sur l'issue de la procédure d'instruction. Quoi qu'il en soit, la recourante a été à même de</w:t>
      </w:r>
    </w:p>
    <w:p>
      <w:r>
        <w:t>- 11/14 - A/869/2023 formuler ses griefs à l'égard de la décision querellée, et notamment du dernier préavis de la DAC, en toute connaissance de cause devant le tribunal de céans, de sorte qu'une éventuelle violation de son droit d'être entendu aurait, de toute façon, été guérie.</w:t>
      </w:r>
    </w:p>
    <w:p>
      <w:r>
        <w:t>Partant, le grief sera rejeté.</w:t>
      </w:r>
    </w:p>
    <w:p>
      <w:r>
        <w:rPr>
          <w:b/>
        </w:rPr>
        <w:t>E. 8</w:t>
      </w:r>
    </w:p>
    <w:p>
      <w:r>
        <w:t>La recourante conteste ensuite la décision de refus et sollicite son annulation. En particulier, elle critique l'appréciation architecturale du projet effectuée par la CA, la prise en compte des CDPI par la DAC, notamment l'absence de dérogation concernant la pergola, ainsi que le contenu du dernier préavis du SMS.</w:t>
      </w:r>
    </w:p>
    <w:p>
      <w:r>
        <w:rPr>
          <w:b/>
        </w:rPr>
        <w:t>E. 9</w:t>
      </w:r>
    </w:p>
    <w:p>
      <w:r>
        <w:t>En préambule, le tribunal constate que la décision litigieuse a été rendue sur la base de l'art. 15 LCI, et fait mention, dans son dispositif, également de l'art. 58 al. 2 LCI. En outre, si certes aucune référence à la LPMNS n'est expressément mentionnée à l'appui du refus, la décision litigieuse indique néanmoins de manière explicite qu'elle se base notamment sur les préavis de la CA du 21 février 2022, de la DAC du 26 octobre 2022 et du SMS du 5 décembre 2022, de sorte que le département ne saurait valablement affirmer que les éléments indiqués dans le préavis du SMS n'ont pas été repris à l'appui de la décision querellée. Cela étant, vu l'issue du litige, cette remarque est dépourvue de conséquence.</w:t>
      </w:r>
    </w:p>
    <w:p>
      <w:r>
        <w:rPr>
          <w:b/>
        </w:rPr>
        <w:t>E. 10</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w:t>
      </w:r>
    </w:p>
    <w:p>
      <w:r>
        <w:t>Sa décision se fonde notamment sur le préavis de la CA ou, pour les objets qui sont de son ressort, sur celui de la CMNS. Elle tient compte également, le cas échéant, de ceux émis par la commune ou ses services compétents (art. 15 al. 2 LCI).</w:t>
      </w:r>
    </w:p>
    <w:p>
      <w:r>
        <w:rPr>
          <w:b/>
        </w:rPr>
        <w:t>E. 11</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w:t>
      </w:r>
    </w:p>
    <w:p>
      <w:r>
        <w:t>- 12/14 - A/869/2023</w:t>
      </w:r>
    </w:p>
    <w:p>
      <w:r>
        <w:rPr>
          <w:b/>
        </w:rPr>
        <w:t>E. 12</w:t>
      </w:r>
    </w:p>
    <w:p>
      <w:r>
        <w:t>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13</w:t>
      </w:r>
    </w:p>
    <w:p>
      <w:r>
        <w:t>Comme indiqué plus haut,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14</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 2021 du 31 août 2021 consid. 4d ; ATA/155/2021 du 9 février 2021 consid. 7c et 10e).</w:t>
      </w:r>
    </w:p>
    <w:p>
      <w:r>
        <w:rPr>
          <w:b/>
        </w:rPr>
        <w:t>E. 15</w:t>
      </w:r>
    </w:p>
    <w:p>
      <w:r>
        <w:t>En l'occurrence, lors de l'instruction de la demande d'autorisation de construire, la CA a émis un préavis défavorable retenant que le projet ne tenait pas compte de l'état existant, tant sur la parcelle qu'au niveau du site, et que l'implantation devait être repensée afin de régler les problématiques de liaisons considérées comme anecdotiques et inappropriées, celles-ci venant péjorer la composition de l'ensemble. À cet égard, rien n'amène à penser que cette instance a émis un préavis fondé sur des motifs erronés ou contraires aux objectifs visés par la LCI, ce que la recourante ne prétend au demeurant pas. En outre, bien que rendu au sujet de la première version du projet, force est de constater que la substance de celui-ci, notamment au sujet de son implantation et de ses dimensions, n'a pas évolué, de sorte que l'avis de la CA reste manifestement valable pour toutes les versions subséquentes du projet, ce que la recourante ne conteste pas non plus. En définitive, il appert que la recourante entend avant tout tenter de substituer sa propre appréciation subjective à celle de l'instance spécialisée, sans que rien ne permette de penser que le département, en se fondant sur le préavis de la CA, aurait fait un usage excessif ou abusif de son pouvoir d'appréciation en refusant de délivrer l'autorisation de construire querellée.</w:t>
      </w:r>
    </w:p>
    <w:p>
      <w:r>
        <w:t>- 13/14 - A/869/2023</w:t>
      </w:r>
    </w:p>
    <w:p>
      <w:r>
        <w:t>Partant, ce constat, à lui seul, est déjà suffisant pour rejeter le recours, dès lors que comme l'indique le texte clair de l'art. 15 LCI, le département se fonde sur l'avis de la CA pour rendre sa décision relative à cette norme, de sorte que la question de la contiguïté des villas projetée et celle de la validité du préavis du SMS peut souffrir de rester indécise. Au demeurant, le tribunal se contentera de relever que si dans son préavis du 7 juillet 2022, la DAC avait certes indiqué que les CDPI étaient respectées, à teneur des plans des versions subséquentes du projet produits, le toit de l'élément assurant la contiguïté au niveau de la parcelle n° 2______ a été partiellement ouvert, de sorte à lui donner a priori une apparence de pergola, raison pour laquelle le département a mis en question la conformité du projet à l'art. 58 al. 2 RCI, cette question pouvant, pour rappel, souffrir de rester indécise en l'espèce. À cet égard, le tribunal relèvera uniquement que dans le cadre de l’application de l’art. 3 al. 3 RCI au sujet des CDPI, la jurisprudence a déjà été amenée à préciser qu'un aménagement extérieur au sol, non couvert et sans émergence, ne constitue pas, à l’instar d’une pergola ou de surfaces aménagées au sol destinées au stationnement des véhicules, une CDPI (JTAPI/1383/2022 du 14 décembre 2022 consid. 33, repris par l’ATA/129/2023 du 7 février 2023 consid. 4f). En outre, si la recourante critique le préavis du SMS du 5 décembre 2022 dans la mesure où il fait référence à une procédure d'inscription à l'inventaire en cours des parcelles litigieuses et prend en compte du projet de PLQ n° 10______, force est de constater que ce document ne se base pas uniquement sur ces éléments, mais aussi, notamment, sur une appréciation de la qualité d'ensemble architectural des villas en question, que la recourante ne critique pas.</w:t>
      </w:r>
    </w:p>
    <w:p>
      <w:r>
        <w:t>Partant, le grief est écarté.</w:t>
      </w:r>
    </w:p>
    <w:p>
      <w:r>
        <w:rPr>
          <w:b/>
        </w:rPr>
        <w:t>E. 16</w:t>
      </w:r>
    </w:p>
    <w:p>
      <w:r>
        <w:t>Mal fondé, le recours est rejeté et la décision confirmée.</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- 14/14 - A/869/2023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