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JTAPI/1215/2021 vom 1. Dezember 2021</w:t>
      </w:r>
    </w:p>
    <w:p>
      <w:r>
        <w:t>GE Cour de justice, 2021-12-01, FR</w:t>
      </w:r>
    </w:p>
    <w:p>
      <w:r>
        <w:rPr>
          <w:b/>
        </w:rPr>
        <w:t xml:space="preserve">Quelle: </w:t>
      </w:r>
      <w:r>
        <w:t>https://mcp.opencaselaw.ch/entscheid/ge_gerichte_JTAPI_1215_2021</w:t>
      </w:r>
    </w:p>
    <w:p>
      <w:r>
        <w:t>FR: GE_GERICHTE JTAPI/1215/2021 du 1 décembre 2021</w:t>
      </w:r>
    </w:p>
    <w:p>
      <w:r>
        <w:t>IT: GE_GERICHTE JTAPI/1215/2021 del 1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l'égalité de traitement, le principe de la bonne foi et le principe de la proportionnalité (ATF 137 V 71 consid. 5.1 ; 123 V 150 consid. 2 et les références citées). Commet un excès positif de son pouvoir d'appréciation l'autorité qui exerce son appréciation alors que la loi l'exclut, ou qui, au lieu de choisir entre les deux solutions possibles, en adopte une troisième. Il y a encore excès du pouvoir d'appréciation dans le cas où celui-ci est négatif, soit lorsque l'autorité considère qu'elle est liée, alors que la loi l'autorise à statuer selon son appréciation, ou qu'elle renonce d'emblée, en tout ou partie, à exercer son pouvoir d'appréciation (ATF 137 V 71 consid. 5.1 ; 116 V 307 consid. 2 et les références citées).</w:t>
      </w:r>
    </w:p>
    <w:p>
      <w:r>
        <w:rPr>
          <w:b/>
        </w:rPr>
        <w:t>E. 4</w:t>
      </w:r>
    </w:p>
    <w:p>
      <w:r>
        <w:t>Le recourante sollicite un transport sur place et son audition, ainsi que celle de sa compagne, du maire de B______, et des ingénieurs ayant réalisé les canalisations et de ceux ayant installé la fibre optique sur le plateau de K______.</w:t>
      </w:r>
    </w:p>
    <w:p>
      <w:r>
        <w:rPr>
          <w:b/>
        </w:rPr>
        <w:t>E. 5</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w:t>
      </w:r>
    </w:p>
    <w:p>
      <w:r>
        <w:t>- 11/24 - A/304/2021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ATA/720/2012 du 30 octobre 2012 consid. 3).</w:t>
      </w:r>
    </w:p>
    <w:p>
      <w:r>
        <w:rPr>
          <w:b/>
        </w:rPr>
        <w:t>E. 6</w:t>
      </w:r>
    </w:p>
    <w:p>
      <w:r>
        <w:t>En l'espèce, les pièces et les écritures versées à la procédure de même que la consultation du SITG et les informations qui y figurent renseignent suffisamment le tribunal pour résoudre le présent litige. Dès lors qu’ils n’apparaissent pas comme nécessaires, il ne sera donc pas donné suite à la demande de nombreux actes d’instruction supplémentaires du recourant. Les conclusions préalables dans ce sens seront donc rejetées.</w:t>
      </w:r>
    </w:p>
    <w:p>
      <w:r>
        <w:rPr>
          <w:b/>
        </w:rPr>
        <w:t>E. 7</w:t>
      </w:r>
    </w:p>
    <w:p>
      <w:r>
        <w:t>Le recourant souhaite la jonction de la présente procédure avec les causes pendantes concernant Mme G______ et M. H______ soit les parcelles nos 13______ et 14______, sans donner plus d'informations concernant la situation desdites procédures, et notamment leur état d'avancement.</w:t>
      </w:r>
    </w:p>
    <w:p>
      <w:r>
        <w:rPr>
          <w:b/>
        </w:rPr>
        <w:t>E. 8</w:t>
      </w:r>
    </w:p>
    <w:p>
      <w:r>
        <w:t>Selon l'art. 70 al. 1 LPA, l'autorité peut, d'office ou sur requête, joindre en une même procédure des affaires qui se rapportent à une situation identique ou à une cause juridique commune.</w:t>
      </w:r>
    </w:p>
    <w:p>
      <w:r>
        <w:rPr>
          <w:b/>
        </w:rPr>
        <w:t>E. 9</w:t>
      </w:r>
    </w:p>
    <w:p>
      <w:r>
        <w:t>En l'espèce, les procédures précitées se rapportent à des faits distincts et des parties et des parcelles différentes, de sorte qu'il n'y a pas lieu de les joindre.</w:t>
      </w:r>
    </w:p>
    <w:p>
      <w:r>
        <w:rPr>
          <w:b/>
        </w:rPr>
        <w:t>E. 10</w:t>
      </w:r>
    </w:p>
    <w:p>
      <w:r>
        <w:t>Le recourant soulève dans un premier grief une violation de son droit d'être entendu. Il reproche au département de ne pas lui avoir transmis la plainte, accompagnée du reportage photographique, soit d'avoir mis à sa disposition un dossier incomplet. Il se serait en conséquence trouvé dans l'impossibilité de se prononcer sur la validité des preuves recueillies à son encontre.</w:t>
      </w:r>
    </w:p>
    <w:p>
      <w:r>
        <w:rPr>
          <w:b/>
        </w:rPr>
        <w:t>E. 11</w:t>
      </w:r>
    </w:p>
    <w:p>
      <w:r>
        <w:t>Comme déjà mentionné, le droit d'être entendu garanti par les art. 29 al. 2 Cst. et 41 LPA, comprend également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(ATA/625/2019 du 13 octobre 2020 consid. 3a).</w:t>
      </w:r>
    </w:p>
    <w:p>
      <w:r>
        <w:t>- 12/24 - A/304/2021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w:t>
      </w:r>
    </w:p>
    <w:p>
      <w:r>
        <w:rPr>
          <w:b/>
        </w:rPr>
        <w:t>E. 12</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13</w:t>
      </w:r>
    </w:p>
    <w:p>
      <w:r>
        <w:t>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 4.1 ; 2P.20/2005 du 13 avril 2005 consid. 3.2).</w:t>
      </w:r>
    </w:p>
    <w:p>
      <w:r>
        <w:rPr>
          <w:b/>
        </w:rPr>
        <w:t>E. 14</w:t>
      </w:r>
    </w:p>
    <w:p>
      <w:r>
        <w:t>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La décision par laquelle la consultation d'une pièce est refusée peut faire l'objet d'un recours immédiat (art. 45 al. 4 LPA).</w:t>
      </w:r>
    </w:p>
    <w:p>
      <w:r>
        <w:rPr>
          <w:b/>
        </w:rPr>
        <w:t>E. 15</w:t>
      </w:r>
    </w:p>
    <w:p>
      <w:r>
        <w:t>Il n'existe pas en la matière de norme spécifique et concrète garantissant l'anonymat, et seule est interdite l'instruction d'une dénonciation anonyme (art. 10A LPA). Le Tribunal fédéral a précisé que l'intérêt de la personne dénoncée à connaître l'identité de ses dénonciateurs peut se voir limité par les intérêts publics de l'État ou les intérêts légitimes du tiers dénonciateur. Toutefois, il ne peut être accepté un intérêt général pour garantir la confidentialité de tout informateur ; il convient de se déterminer par une pesée des intérêts en examinant</w:t>
      </w:r>
    </w:p>
    <w:p>
      <w:r>
        <w:t>- 13/24 - A/304/2021 les intérêts du dénoncé et du dénonciateur (ATF 129 I 249 ; arrêt du Tribunal fédéral 2C_609/2015 du 5 novembre 2015 consid. 4.1 ; ATA/1828/2019 du</w:t>
      </w:r>
    </w:p>
    <w:p>
      <w:r>
        <w:rPr>
          <w:b/>
        </w:rPr>
        <w:t>E. 17</w:t>
      </w:r>
    </w:p>
    <w:p>
      <w:r>
        <w:t>La décision dont il est fait recours est composée de quatre points. Le premier point concerne une remise en état selon les plans de l'existant joints à la DD 6______, laquelle avait été refusée, tandis que les points 2, 3 et 4 concernent les nouvelles constructions érigées depuis cette date sans autorisation.</w:t>
      </w:r>
    </w:p>
    <w:p>
      <w:r>
        <w:rPr>
          <w:b/>
        </w:rPr>
        <w:t>E. 18</w:t>
      </w:r>
    </w:p>
    <w:p>
      <w:r>
        <w:t>Conformément à l'art. 59 let. b LPA, le recours n'est pas recevable contre les mesures d'exécution des décisions.</w:t>
      </w:r>
    </w:p>
    <w:p>
      <w:r>
        <w:rPr>
          <w:b/>
        </w:rPr>
        <w:t>E. 19</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(Benoît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 ATA/761/2005 du 8 novembre 2005).</w:t>
      </w:r>
    </w:p>
    <w:p>
      <w:r>
        <w:rPr>
          <w:b/>
        </w:rPr>
        <w:t>E. 20</w:t>
      </w:r>
    </w:p>
    <w:p>
      <w:r>
        <w:t>En l'espèce, s'agissant du point 1, le tribunal constate qu'il s'agit d'une mesure d'exécution de l'ordre de remise en état prévu dans la décision de refus rendue en 2006 et de l'ordre de remise en état de 2007, entrés en force à la suite de l'arrêt du TF du 12 août 2008. Le fait que le recourant n'ait pas reçu, selon ses dires, d'« avertissement » avant l'ordre de remise en état ne permet de modifier cet élément, dès lors qu'il savait que les constructions étaient illégales et qu'il devait procéder à leur remise en état. Partant, il ne peut, par le présent recours, revenir sur ces éléments ou sur leur proportionnalité, laquelle a déjà été examinée dans le jugement et les arrêts successifs précités. Ainsi, cette partie de la décision querellée n'est pas sujette à recours et le grief y relatif sera déclaré irrecevable.</w:t>
      </w:r>
    </w:p>
    <w:p>
      <w:r>
        <w:rPr>
          <w:b/>
        </w:rPr>
        <w:t>E. 21</w:t>
      </w:r>
    </w:p>
    <w:p>
      <w:r>
        <w:t>S'agissant des points 2 à 4, ceux-ci concernent en revanche les nouveaux aménagements réalisés par le recourant, en bleu sur l'image aérienne produite par le département dans ses observations du 31 mars 2021. Il s'agit de deux bâtiments et leurs chemins d'accès respectifs en terre du Salève. Le recourant indique que, selon lui, il n'était pas nécessaire de déposer une demande d'autorisation de construire pour les deux petits bâtiments de stockage.</w:t>
      </w:r>
    </w:p>
    <w:p>
      <w:r>
        <w:t>- 15/24 - A/304/2021</w:t>
      </w:r>
    </w:p>
    <w:p>
      <w:r>
        <w:rPr>
          <w:b/>
        </w:rPr>
        <w:t>E. 22</w:t>
      </w:r>
    </w:p>
    <w:p>
      <w:r>
        <w:t>Aucune construction ou installation ne peut être créée ou transformée sans autorisation de l’autorité compétente (art. 22 al. 1 LAT).</w:t>
      </w:r>
    </w:p>
    <w:p>
      <w:r>
        <w:rPr>
          <w:b/>
        </w:rPr>
        <w:t>E. 23</w:t>
      </w:r>
    </w:p>
    <w:p>
      <w:r>
        <w:t>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rPr>
          <w:b/>
        </w:rPr>
        <w:t>E. 24</w:t>
      </w:r>
    </w:p>
    <w:p>
      <w:r>
        <w:t>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(let. b), les garages et ateliers de réparations, les entrepôts, les dépôts de tous genres (let. c).</w:t>
      </w:r>
    </w:p>
    <w:p>
      <w:r>
        <w:rPr>
          <w:b/>
        </w:rPr>
        <w:t>E. 25</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w:t>
      </w:r>
    </w:p>
    <w:p>
      <w:r>
        <w:rPr>
          <w:b/>
        </w:rPr>
        <w:t>E. 26</w:t>
      </w:r>
    </w:p>
    <w:p>
      <w:r>
        <w:t>La définition jurisprudentielle susmentionnée comporte quatre conditions cumulatives (Piermarco ZEN-RUFFINEN/Christine GUY-ECABERT, Aménagement du territoire, construction, expropriation, 2001, p. 214-218) : a. La création par la main de l'homme, excluant toute modification naturelle du terrain telle que des éboulis ; b. La durabilité de l'aménagement, contrairement à une construction provisoire qui peut être enlevée sans frais excessifs et dont l'existence est limitée dans le temps de manière certaine. c. La fixation au sol de la construction. Sont assimilés à des constructions tous les bâtiments en surface, y compris les abris mobiles, installés pour un temps non</w:t>
      </w:r>
    </w:p>
    <w:p>
      <w:r>
        <w:t>- 16/24 - A/304/2021 négligeable en un lieu fixe. L'exigence de la relation fixe avec le sol n'exclut pas la prise en compte de constructions mobilières, non ancrées de manière durable au sol et qui sont, cas échéant, facilement démontables. d.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w:t>
      </w:r>
    </w:p>
    <w:p>
      <w:r>
        <w:rPr>
          <w:b/>
        </w:rPr>
        <w:t>E. 27</w:t>
      </w:r>
    </w:p>
    <w:p>
      <w:r>
        <w:t>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w:t>
      </w:r>
    </w:p>
    <w:p>
      <w:r>
        <w:rPr>
          <w:b/>
        </w:rPr>
        <w:t>E. 28</w:t>
      </w:r>
    </w:p>
    <w:p>
      <w:r>
        <w:t>L'assujettissement a ainsi été admis pour une roulotte de grandes dimensions destinée à jouer le rôle d'une maison de vacances (ATF 100 Ib 482 consid. 4 p. 488), une clôture métallique de 2 m de haut hors de la zone à bâtir (ATF 118 Ib 49),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w:t>
      </w:r>
    </w:p>
    <w:p>
      <w:r>
        <w:rPr>
          <w:b/>
        </w:rPr>
        <w:t>E. 29</w:t>
      </w:r>
    </w:p>
    <w:p>
      <w:r>
        <w:t>En l'espèce, force est ainsi de conclure, à l'instar du département, que l'ensemble des aménagements litigieux sont des constructions/installations au sens de l'art. 22 al. 1 LAT et nécessitaient une autorisation au sens de cette disposition et de l'art. 1 LCI.</w:t>
      </w:r>
    </w:p>
    <w:p>
      <w:r>
        <w:rPr>
          <w:b/>
        </w:rPr>
        <w:t>E. 30</w:t>
      </w:r>
    </w:p>
    <w:p>
      <w:r>
        <w:t>Le recourant estime ensuite que les constructions devraient être autorisées, en vertu des art. 24d al. 1 et 3 LAT. Il sollicite une suspension de la procédure pour déposer une demande d'autorisation de construire, tandis que le département considère un dépôt d'autorisation de construire comme « superfétatoire », les conditions légales n'étant pas réunies pour autoriser ces installations.</w:t>
      </w:r>
    </w:p>
    <w:p>
      <w:r>
        <w:rPr>
          <w:b/>
        </w:rPr>
        <w:t>E. 31</w:t>
      </w:r>
    </w:p>
    <w:p>
      <w:r>
        <w:t>Selon l'art. 16 LAT, les zones agricoles servent à garantir la base d'approvisionnement du pays à long terme, à sauvegarder le paysage et les espaces</w:t>
      </w:r>
    </w:p>
    <w:p>
      <w:r>
        <w:t>- 17/24 - A/304/2021 de délassement et à assurer l'équilibre écologique. Elles devraient être maintenues autant que possible libres de toute construction en raison des différentes fonctions de la zone agricole (al. 1). Il importe, dans la mesure du possible, de délimiter des surfaces continues d'une certaine étendue (al. 2). Sont conformes à l'affectation de la zone agricole les constructions et installations qui sont nécessaires à l'exploitation agricole ou à l'horticulture productrice. Cette notion de conformité peut être restreinte en vertu de l'art. 16, al. 3 (art. 16a al. 1 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les conditions fixées par les art. 34 ss OAT (let. c ; art. 20 al. 1 de la loi d'application de la loi fédérale sur l'aménagement du territoire du 4 juin 1987 - LaLAT - L 1 30).</w:t>
      </w:r>
    </w:p>
    <w:p>
      <w:r>
        <w:rPr>
          <w:b/>
        </w:rPr>
        <w:t>E. 32</w:t>
      </w:r>
    </w:p>
    <w:p>
      <w:r>
        <w:t>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 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33</w:t>
      </w:r>
    </w:p>
    <w:p>
      <w:r>
        <w:t>Selon l'art. 24d LAT,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(al. 2).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w:t>
      </w:r>
    </w:p>
    <w:p>
      <w:r>
        <w:t>- 18/24 - A/304/2021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(al. 3). S'y ajoute qu'un intérêt prépondérant s'oppose auxdites installations (art. 24d al. 3 LAT), consistant au maintien de la culture.</w:t>
      </w:r>
    </w:p>
    <w:p>
      <w:r>
        <w:rPr>
          <w:b/>
        </w:rPr>
        <w:t>E. 34</w:t>
      </w:r>
    </w:p>
    <w:p>
      <w:r>
        <w:t>Selon l'art. 3 de la loi sur la protection générale et l’aménagement des rives de J______ du 5 décembre 2003 (LPRVers - L 4 19), hors des zones à bâtir comprises dans le périmètre du plan de protection vis à l'art. 2, comme en l'espèce, aucune construction nouvelle ne peut être érigée. Selon l'art. 6 LPRVers, hors des zones à bâtir comprises et délimitées par le plan de protection visé à l’art. 2, aucune route ou chemin carrossable, aucune modification du relief du terrain existant, aucun parc de stationnement, aucune clôture durable ne peut être réalisé. Seules les clôtures amovibles nécessaires au pacage sont tolérées.</w:t>
      </w:r>
    </w:p>
    <w:p>
      <w:r>
        <w:rPr>
          <w:b/>
        </w:rPr>
        <w:t>E. 35</w:t>
      </w:r>
    </w:p>
    <w:p>
      <w:r>
        <w:t>Selon l'art. 11 al. 1 LForêts, l'implantation de construction à moins de 20 m de la lisière de la forêt, telle que constatée au sens de l'art. 4 de la présente loi, est interdite. Des dérogations sont possibles, au sens de l'art. 11 al. 2, accordées par le département. La commission consultative de la diversité biologique doit notamment autre être consultée (art. 11 al. 3 LForêts).</w:t>
      </w:r>
    </w:p>
    <w:p>
      <w:r>
        <w:rPr>
          <w:b/>
        </w:rPr>
        <w:t>E. 36</w:t>
      </w:r>
    </w:p>
    <w:p>
      <w:r>
        <w:t>En l'espèce, aucune des conditions de l'art. 24d al. 1 LAT ne sont remplies. Il en va de même des conditions supplémentaires de l'art. 24d al. 3 LAT, qui ne peuvent trouver application en l'espèce, dès lors que l'art. 24d al. 1 LAT n'est pas applicable. Le recourant n'apporte par ailleurs aucun élément à cet égard, mais semble simplement considérer que tel est le cas. Or, les bâtiments en cause ne sont pas des bâtiments d'habitation agricole conservés dans leur substance mais des nouvelles constructions de stockage et des chemins d'accès, réalisés sans autorisation par le recourant, ce qu'il ne conteste pas. Il a procédé à des travaux complémentaires alors même qu'il savait ceux-ci assujettis à autorisation de construire, laquelle ne peut être accordée, au regard des dispositions qui précèdent. Il en va de même au regard de la LPVers et de la LForêts, qui s'opposent également à toute autorisation de construire sur la parcelle précitée. En effet, les constructions se trouvent à moins de 20 m de la lisière de la forêt et dans la zone de protection de J______. Enfin, le fait que la parcelle ne soit plus assujettie à la LDTR ne modifie pas la législation applicable à cette zone.</w:t>
      </w:r>
    </w:p>
    <w:p>
      <w:r>
        <w:t>- 19/24 - A/304/2021</w:t>
      </w:r>
    </w:p>
    <w:p>
      <w:r>
        <w:rPr>
          <w:b/>
        </w:rPr>
        <w:t>E. 37</w:t>
      </w:r>
    </w:p>
    <w:p>
      <w:r>
        <w:t>Partant, les constructions ne sont pas autorisables, à aucun titre que ce soit.</w:t>
      </w:r>
    </w:p>
    <w:p>
      <w:r>
        <w:rPr>
          <w:b/>
        </w:rPr>
        <w:t>E. 38</w:t>
      </w:r>
    </w:p>
    <w:p>
      <w:r>
        <w:t>Reste à examiner si c'est à bon droit que l'autorité intimée a prononcé l'ordre de remise en état à l'état d'origine du terrain en question et l'enlèvement des installations érigées illégalement. À cet égard, le recourant se plaint que la décision de remise en état ne serait pas proportionnée pour plusieurs raisons. Le département aurait tardé à lui demander de démolir les constructions érigées sans droit. En outre, les nouvelles constructions sont de peu d'importance, rendant leur démolition disproportionnée. Son état de santé et celui de sa compagne imposeraient de renoncer à l'ordre de démolition ou subsidiairement, d'autoriser leur maintien jusqu'à leur décès.</w:t>
      </w:r>
    </w:p>
    <w:p>
      <w:r>
        <w:rPr>
          <w:b/>
        </w:rPr>
        <w:t>E. 39</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40</w:t>
      </w:r>
    </w:p>
    <w:p>
      <w:r>
        <w:t>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pour la zone à bâtir ;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w:t>
      </w:r>
    </w:p>
    <w:p>
      <w:r>
        <w:t>- 20/24 - A/304/2021 (ATA/1030/2018 du 2 octobre 2018 consid. 6c ; ATA/1411/2017 du 17 octobre 2017 consid. 4a et les références citées).</w:t>
      </w:r>
    </w:p>
    <w:p>
      <w:r>
        <w:rPr>
          <w:b/>
        </w:rPr>
        <w:t>E. 41</w:t>
      </w:r>
    </w:p>
    <w:p>
      <w:r>
        <w:t>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(arrêt 1C_469/2019 du 28 avril 2021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1C_60/2021 du 27 juillet 2021 consid. 3.2.1 ; 1C_469/2019 précité consid. 5.5 et 5.6).</w:t>
      </w:r>
    </w:p>
    <w:p>
      <w:r>
        <w:rPr>
          <w:b/>
        </w:rPr>
        <w:t>E. 42</w:t>
      </w:r>
    </w:p>
    <w:p>
      <w:r>
        <w:t>En l'espèce, les quatre premières conditions nécessaires à la validité d'un ordre de mise en conformité sont réalisées. Le recourant, qui a procédé aux travaux, ne soutient, ni ne démontre, que les installations litigieuses auraient été autorisées au moment de leur mise en place. S'il n'a déposé aucun document permettant de les dater, ni d'ailleurs de chiffrer leur coût, il ressort toutefois de la comparaison des images du SITG que les constructions dont la remise en état est exigée datent de 2011 au plus tard, étant précisé que la jurisprudence fédérale impose désormais une remise en état même après la fin de la prescription trentenaire en zone agricole. S'agissant de la quatrième condition, le recourant critique la bonne foi de l'autorité. Il indique avoir compris à la suite de l'arrêt du Tribunal fédéral de 2008, que les constructions étaient tolérées par le département, car il n'avait pas reçu d'avertissement pendant près de treize ans, avant l'ordre de remise en état querellé. Contrairement à ses allégations, l'arrêt précité confirmait justement la nécessité de procéder aux remises en état exigées et leur proportionnalité, au regard des zones dans lesquelles se trouve la parcelle, soit en zone agricole et en zone protégée. Au contraire et comme le département le relève à juste titre, il l'a mis devant le fait accompli et a réitéré son comportement, en procédant sciemment à de nouveaux travaux non autorisés.</w:t>
      </w:r>
    </w:p>
    <w:p>
      <w:r>
        <w:rPr>
          <w:b/>
        </w:rPr>
        <w:t>E. 43</w:t>
      </w:r>
    </w:p>
    <w:p>
      <w:r>
        <w:t>Ne reste qu'à déterminer si l'intérêt privé du recourant l'emporte sur l'intérêt public au rétablissement d'une situation conforme au droit.</w:t>
      </w:r>
    </w:p>
    <w:p>
      <w:r>
        <w:rPr>
          <w:b/>
        </w:rPr>
        <w:t>E. 44</w:t>
      </w:r>
    </w:p>
    <w:p>
      <w:r>
        <w:t>Le principe de la proportionnalité, garanti par les art. 5 al. 2 et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et</w:t>
      </w:r>
    </w:p>
    <w:p>
      <w:r>
        <w:t>- 21/24 - A/304/2021 les références citées). Les critères de l'aptitude et de la subsidiarité sont particulièrement concernés lorsqu'un ordre de démolition est envisagé. Ils impliquent en effet de déterminer si une - ou plusieurs - autre mesure administrative pourrait être préférée, cas échéant en combinaison (ATA/463/2021 du 27 avril 2021).</w:t>
      </w:r>
    </w:p>
    <w:p>
      <w:r>
        <w:rPr>
          <w:b/>
        </w:rPr>
        <w:t>E. 45</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(cf. Message du Conseil fédéral du 20 janvier 2010 relatif à une révision partielle de la LAT, FF 2010 964 ch. 1.2.1, et 973 ch. 2.1 ; arrêts 1C_60/2021 du 27 juillet 2021 consid. 3.1 ; 1C_469/2019 du 28 avril 2021 consid. 5.5.). Cette séparation doit par conséquent, en dehors des exceptions prévues la loi, demeurer d'application stricte (ATF 132 II 21 consid. 6.4). S'ajoute à cela que la remise en état poursuit encore d'autres intérêts publics, à savoir la limitation du nombre et dimensions des constructions en zone agricole ainsi que le respect du principe de l'égalité devant la loi (ATF 132 II 21 consid. 6.4 ; arrêts 1C_60/2021 précité consid. 3.1; 1C_76/2019 du 28 février 2020 consid. 7.1 et les références citées).</w:t>
      </w:r>
    </w:p>
    <w:p>
      <w:r>
        <w:rPr>
          <w:b/>
        </w:rPr>
        <w:t>E. 46</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(arrêt 1C_60/2021 précité consid. 3.1 ; ATF 123 II 248 consid. 4a; Nicolas WISARD/Samuel BRÜCKNER/Milena PIREK, op. cit, p. 218).</w:t>
      </w:r>
    </w:p>
    <w:p>
      <w:r>
        <w:rPr>
          <w:b/>
        </w:rPr>
        <w:t>E. 47</w:t>
      </w:r>
    </w:p>
    <w:p>
      <w:r>
        <w:t>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w:t>
      </w:r>
    </w:p>
    <w:p>
      <w:r>
        <w:t>- 22/24 - A/304/2021 consid. 5.1.1 et les références citées ; ATA/1370/2018 du 18 décembre 2018 consid. 10 ; ATA/303/2016 du 12 avril 2016 consid. 9).</w:t>
      </w:r>
    </w:p>
    <w:p>
      <w:r>
        <w:rPr>
          <w:b/>
        </w:rPr>
        <w:t>E. 48</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du 2 septembre 2014 consid. 4c).</w:t>
      </w:r>
    </w:p>
    <w:p>
      <w:r>
        <w:rPr>
          <w:b/>
        </w:rPr>
        <w:t>E. 49</w:t>
      </w:r>
    </w:p>
    <w:p>
      <w:r>
        <w:t>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50</w:t>
      </w:r>
    </w:p>
    <w:p>
      <w:r>
        <w:t>En l'espèce, l'intérêt public à la protection de ce secteur, qui se situe en zone agricole et dans le périmètre de protection des rives de J______, à proximité de la lisière de la forêt est considérable et l'intérêt au maintien de la zone agricole, surtout à Genève, prime par principe celui des particuliers. Cette solution se justifie d'autant plus que le recourant a réalisé des travaux complémentaires alors même qu'il n'ignorait pas devoir obtenir avant ceux-ci une autorisation de construire et qu'il savait qu'il devait remettre en état, les constructions selon l'arrêt du Tribunal fédéral du 12 août 2008 (9______), soit les bâtiments nos 4______et 5______, ainsi que leurs aménagements extérieurs (terrasses, murets). L'intérêt privé du recourant, atteint par l'ordre de remise en état, relève essentiellement de la convenance personnelle, les installations édifiées étant des espaces de stockage et des chemins d'accès. À cet égard, le seul fait de les maintenir pour son confort ne saurait justifier leur édification, étant encore précisé que le département ne requiert pas la remise en état du chemin du F______, bien qu'il diffère du cadastre. Partant, les services de secours pourront toujours accéder facilement à la parcelle, contrairement aux craintes du recourant. S'agissant de son état de santé, celui-ci ne l'empêche pas, faute de documents à cet égard, de charger</w:t>
      </w:r>
    </w:p>
    <w:p>
      <w:r>
        <w:t>- 23/24 - A/304/2021 une entreprise tierce pour procéder à la remise en état et l'ordre de remise en état concerné par la présente procédure ne concerne que des bâtiments utilisés comme stockage, et non des habitations. Concernant spécifiquement des deux bâtiments, de 12 et 18 m2, que le recourant qualifie de peu d'importance, leur démolition s'avèrera à cet égard d'autant plus aisée. Pour le surplus, le recourant n'allègue pas, que les coûts de destruction seraient élevés. Enfin, s'agissant de la remise en état du terrain naturel, on ne voit pas quelle mesure moins incisive permettrait de protéger les intérêts publics compromis et remédier à l'atteinte portée au sol. Le recourant ne démontre pas que la remise en état consistant à restituer la parcelle à son état d'origine serait impossible ou qu'elle entraînerait des surcoûts disproportionnés. L'approche restrictive du Tribunal fédéral s'agissant du principe de séparation entre l'espace bâti et l'espace non bâti devait demeurer d'application stricte a encore été confirmée dans l'arrêt 1C_469/2019 précité qui écarte l'application de la prescription trentenaire en zone agricole. Au vu de ce qui précède, il n'existe ainsi aucune mesure moins incisive qu'une remise en état pour rétablir une situation conforme au droit et l'intérêt public au respect de la zone agricole dans le canton de Genève et a fortiori, au respect des zones protégées, doit l'emporter sur l'intérêt privé du recourant de continuer à profiter des aménagements litigieux. 51. Partant, entièrement mal fondé, le recours sera rejeté. 52.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53. Vu l’issue du litige, aucune indemnité de procédure ne sera allouée (art. 87 al. 2 LPA).</w:t>
      </w:r>
    </w:p>
    <w:p>
      <w:r>
        <w:t>- 24/24 - A/304/2021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