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JTAPI/1213/2021 vom 1. Dezember 2021</w:t>
      </w:r>
    </w:p>
    <w:p>
      <w:r>
        <w:t>GE Cour de justice, 2021-12-01, FR</w:t>
      </w:r>
    </w:p>
    <w:p>
      <w:r>
        <w:rPr>
          <w:b/>
        </w:rPr>
        <w:t xml:space="preserve">Quelle: </w:t>
      </w:r>
      <w:r>
        <w:t>https://mcp.opencaselaw.ch/entscheid/ge_gerichte_JTAPI_1213_2021</w:t>
      </w:r>
    </w:p>
    <w:p>
      <w:r>
        <w:t>FR: GE_GERICHTE JTAPI/1213/2021 du 1 décembre 2021</w:t>
      </w:r>
    </w:p>
    <w:p>
      <w:r>
        <w:t>IT: GE_GERICHTE JTAPI/1213/2021 del 1 dicembre 2021</w:t>
      </w:r>
    </w:p>
    <w:p>
      <w:pPr>
        <w:pStyle w:val="Heading2"/>
      </w:pPr>
      <w:r>
        <w:t>Erwägungen</w:t>
      </w:r>
    </w:p>
    <w:p>
      <w:r>
        <w:rPr>
          <w:b/>
        </w:rPr>
        <w:t>E. 16</w:t>
      </w:r>
    </w:p>
    <w:p>
      <w:r>
        <w:t>Par courrier du 19 octobre 2021, l'OCV a indiqué qu'il n'avait pas d'autres observations à formuler et qu'il persistait dans ses conclusions. EN DROIT 1. 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par la destinataire de la décision querellée,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 5. Pour déterminer la durée et s'il y a lieu de prononcer un retrait d'admonestation, la LCR distingue les infractions légères (art. 16a LCR), moyennement graves (art. 16b LCR) et graves (art. 16c LCR). a) Selon l'art. 16a al. 1 let. a LCR, commet une infraction légère la personne qui, en violant les règles de la circulation, met légèrement en danger la sécurité d'autrui et à laquelle seule une faute bénigne peut être imputée.</w:t>
      </w:r>
    </w:p>
    <w:p>
      <w:r>
        <w:t>- 6/11 - A/466/2021 Les conditions de la légère mise en danger et de la faute bénigne sont cumulatives (ATF 135 II 138 consid. 2.2.3 ; arrêts du Tribunal fédéral 1C_3/2008 du 18 juillet 2008 consid. 5.1 ; 1C_75/2007 du 13 septembre 2007 consid. 3.1 ; 6A.89/2006 du</w:t>
      </w:r>
    </w:p>
    <w:p>
      <w:r>
        <w:rPr>
          <w:b/>
        </w:rPr>
        <w:t>E. 19</w:t>
      </w:r>
    </w:p>
    <w:p>
      <w:r>
        <w:t>juillet 2007 consid. 2.3 ; cf. ég. ATF 133 II 58 consid. 5.5). L'absence de tout dommage ensuite d'un accident de circulation n'est synonyme ni de faute légère, ni de mise en danger bénigne (arrêt du Tribunal fédéral 1C_184/2018 du 26 juillet 2018 consid. 2.3). b) Commet une infraction grave, selon l'art. 16c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 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 Sur le plan subjectif, l'art. 16c al. 1 let. a LCR, dont la portée est identique à celle de l'art. 90 al. 2 LCR, exige un comportement sans scrupules ou gravement contraire aux règles de la circulation, c'est-à-dire une faute grave et, en cas d'acte commis par négligence, à tout le moins une négligence grossière (cf. ATF 142 IV 93 consid. 3.1 ; 131 IV 133 consid. 3.2 ; arrêts du Tribunal fédéral 1C_436/2019 du 30 septembre 2019 consid. 2.1 ;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 arrêts du Tribunal fédéral 1C_436/2019 du 30 septembre 2019 consid. 2.1 ; 6B_672/2018 du 20 septembre 2018 consid. 1.1 ; 6B_23/2016 du 9 décembre 2016 consid. 3.2 ; 6B_665/2015 du 15 septembre 2016 consid. 2.1.2). Plus la violation de la règle de</w:t>
      </w:r>
    </w:p>
    <w:p>
      <w:r>
        <w:t>- 7/11 - A/466/2021 la circulation est objectivement grave, plus on admettra l'existence d'une absence de scrupules, sauf indice particulier permettant de retenir le contraire (ATF 142 IV 93 consid. 3.1 ; arrêt du Tribunal fédéral 1C_436/2019 du 30 septembre 2019 consid. 2.1 ; 6B_672/2018 du 20 septembre 2018 consid. 1.1). L'acceptation de l'absence de scrupules ne peut cependant pas être déduite de toute inattention (cf. ATF 142 IV 93 consid. 3.1 et les références ; arrêts du Tribunal fédéral 6B_23/2016 du 9 décembre 2016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(cf. arrêts du Tribunal fédéral 6B_665/2015 du 15 septembre 2016 consid. 2.1.2 ; 6B_441/2015 du 3 février 2016 consid. 2.2.1 ; 6B_290/2015 du 23 novembre 2015 consid. 2.2.1 et les références citées ; cf. aussi ATF 142 IV 93 consid. 3.1 et les références citées). c) Réalise enfin une infraction moyennement grave, selon l'art. 16b al. 1 let. a LCR,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 6.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w:t>
      </w:r>
    </w:p>
    <w:p>
      <w:r>
        <w:t>- 8/11 - A/466/2021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w:t>
      </w:r>
    </w:p>
    <w:p>
      <w:r>
        <w:rPr>
          <w:b/>
        </w:rPr>
        <w:t>E. 21</w:t>
      </w:r>
    </w:p>
    <w:p>
      <w:r>
        <w:t>avril 2017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arrêts du Tribunal fédéral 1C_470/2019 du 31 janvier 2020 consid. 5.1.2 ; 1C_611/2018 du 18 avril 2019 consid. 2.2 ; 1C_631/2014 du 20 mars 2015 consid. 2.1).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1C_470/2019 du 31 janvier 2020 consid. 5.1.2 ; 1C_611/2018 du 18 avril 2019 consid. 3.2.2 ; 1C_202/2018 du 18 septembre 2018 consid. 2.2 et 2.3 ; 1C_30/2017 du 21 avril 2017 consid. 2.1 ; 1C_631/2014 du 20 mars 2015 consid. 2.1 ; 1C_245/2010 du 13 juillet 2010 consid. 2.1 ; cf. aussi ATA/622/2016 du 19 juillet 2016 consid. 5b). 7. En l'espèce, la recourante a définitivement été reconnue coupable d'infraction simple aux règles de la circulation routière (art. 90 al. 1 LCR) pour n'avoir pas respecté un signal « Stop » et avoir percuté un motocycliste, dont elle a causé la chute. Elle ne remet désormais plus en cause ces faits, sollicitant exclusivement une nouvelle appréciation de la qualification juridique de l'infraction retenue contre elle par l'autorité intimée. Or, contrairement à ce qu'elle soutient, il ne saurait être fait application de l'art. 16a al. 1 let. a LCR. La mise en danger ayant découlé de son comportement fautif ne saurait être qualifiée de légère, même si, par chance, le motocycliste en question n'a pas été blessé dans sa chute. Le résultat d'une telle action aurait à l'évidence pu avoir des conséquences plus lourdes. La recourante ne peut en particulier prétendre à un amoindrissement de cette mise en danger du fait que ce dernier aurait été en mesure d'éviter le choc en adoptant une autre trajectoire. Force est ainsi d'admettre, avec l'OCV, qu'elle a créé un danger sérieux pour la sécurité d'autrui. Pour ce motif, l'autorité intimée n'a pas mésusé de son pouvoir d'appréciation en qualifiant l'infraction en cause de moyennement grave au sens de l'art. 16b al. 1 let. a LCR.</w:t>
      </w:r>
    </w:p>
    <w:p>
      <w:r>
        <w:t>- 9/11 - A/466/2021 Enfin, s'il n'est pas indispensable de trancher cette question, il apparaît plus que douteux que la faute de la recourante puisse, comme elle le laisse entendre, être perçue comme bénigne, même à considérer que le lieu de l'infraction était « compliqué en terme de visibilité », ce qui ne saurait être nié, mais aurait dû la conduire à faire preuve de plus de prudence encore. On rappellera aussi, à toutes fins utiles, que celui qui n'agit pas de manière conforme aux règles de la circulation routière ne peut se prévaloir du principe de la confiance déduit de l'art. 26 al. 1 LCR pour minimiser la gravité de sa propre faute (cf. ATF 143 IV 138 consid. 2.1 ; 125 IV 83 consid. 2b ; arrêts du Tribunal fédéral 1C_470/2019 du 31 janvier 2020 consid. 5.4 ; 6B_343/2019 du 11 avril 2019 consid. 1.5 ; 6B_1148/2018 du 6 décembre 2018 consid. 2.4 ; 1C_54/2018 du 3 octobre 2018 consid. 2.2). Enfin, le fait qu'elle ait respecté ses devoirs suite à l'accident, qui résultent d'une obligation à laquelle chacun est tenu (cf. art. 51 LCR), ne saurait avoir une portée déterminante à cet égard. 8. L'art. 16b al. 2 let. a LCR prévoit qu'après une infraction moyennement grave, le permis de conduire est retiré pour un mois au minimum. 9.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Si cette solution peut apparaître sévère, par exemple dans les cas où l'infraction en cause résulte d'une négligence simple, elle a été expressément voulue par le législateur fédéral, afin de renforcer la sécurité et, partant, d'épargner des vies humaines et des blessés (cf. arrêt du Tribunal fédéral 1C_102/2016 du 20 décembre 2016 consid. 2.5 et les références citées). 10. En l'occurrence, l'OCV ne s'est pas écarté du minimum légal prévu par l'art. 16b al. 2 let. a LCR en fixant à un mois la durée du retrait du permis de conduire de la recourante. Etant lié par cette durée, qui constitue le minimum légal incompressible devant sanctionner l'infraction en cause, et ne pouvant pas tenir compte du besoin de conduire dont la recourante fait état, il a correctement appliqué la règle précitée et n'a pas excédé ou abusé de son pouvoir d'appréciation. 11. La décision querellée est donc conforme au droit.</w:t>
      </w:r>
    </w:p>
    <w:p>
      <w:r>
        <w:t>- 10/11 - A/466/2021 12. Ne reposant sur aucun motif valable, le recours doit être rejeté. 13. Vu l'issue du litige, un émolument de CHF 500.- sera mis à la charge de la recourante, qui succombe, en application de l'art. 87 al. 1 LPA et du règlement sur les frais, émoluments et indemnités en procédure administrative du 30 juillet 1986 (RFPA - E 5 10.03). Cette dernière n'a en tout état pas droit à une indemnité de procédure (art. 87 al. 2 LPA a contrario).</w:t>
      </w:r>
    </w:p>
    <w:p>
      <w:r>
        <w:t>- 11/11 - A/466/2021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