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JTAPI/1202/2024 vom 30. April 2024</w:t>
      </w:r>
    </w:p>
    <w:p>
      <w:r>
        <w:t>GE Cour de justice, 2024-04-30, FR</w:t>
      </w:r>
    </w:p>
    <w:p>
      <w:r>
        <w:rPr>
          <w:b/>
        </w:rPr>
        <w:t xml:space="preserve">Quelle: </w:t>
      </w:r>
      <w:r>
        <w:t>https://mcp.opencaselaw.ch/entscheid/ge_gerichte_JTAPI_1202_2024</w:t>
      </w:r>
    </w:p>
    <w:p>
      <w:r>
        <w:t>FR: GE_GERICHTE JTAPI/1202/2024 du 30 avril 2024</w:t>
      </w:r>
    </w:p>
    <w:p>
      <w:r>
        <w:t>IT: GE_GERICHTE JTAPI/1202/2024 del 30 aprile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80a al. 3 LEI, la légalité et l'adéquation de la détention ordonnée dans le cadre d'une procédure Dublin sont examinées, sur demande de la personne détenue, par une autorité judiciaire au terme d'une procédure écrite. Cet examen pouvant être demandé à tout moment. La LaLEtr, qui n'a pas été mise en jour suite à l'adoption et l'entrée en vigueur des art. 76a et 80a LEI, ne définit pas la compétence et ne détermine pas la procédure applicable dans les cas de figure envisagés par ces dispositions. Il ne fait néanmoins pas de doute que la compétence du tribunal est donnée s'agissant des demandes formées par les personnes détenues sur la base de l'art. 76a LEI (cf. not. JTAPI/817/2021 du 20 août 2021 confirmé par ATA/903/2021 du 3 septembre 2021; JTAPI/1004/2020 du 19 novembre 2020 confirmé par ATA/1252/2020 du 8 décembre 2020 ; JTAPI/803/2019 du 6 septembre 2019).</w:t>
      </w:r>
    </w:p>
    <w:p>
      <w:r>
        <w:rPr>
          <w:b/>
        </w:rPr>
        <w:t>E. 2.3</w:t>
      </w:r>
    </w:p>
    <w:p>
      <w:r>
        <w:t>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de la personne concernée (cf. arrêts du Tribunal fédéral 2C_765/2015 du 18 septembre 2015 consid. 5.3 ; 2C_334/2015 du 19 mai 2015 consid. 2.2 ;</w:t>
      </w:r>
    </w:p>
    <w:p>
      <w:r>
        <w:t>- 7/9 - A/4055/2024 2C_218/2013 du 26 mars 2013 consid. 5.1 et les références citées ; cf. ATF 130 II 425 consid. 5.2).Le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w:t>
      </w:r>
    </w:p>
    <w:p>
      <w:r>
        <w:rPr>
          <w:b/>
        </w:rPr>
        <w:t>E. 2.3.1</w:t>
      </w:r>
    </w:p>
    <w:p>
      <w:r>
        <w:t>; arrêts du Tribunal fédéral 2C_26/2013 du 29 janvier 2013 consid. 3.1 ; 2C_420/2011 du 9 juin 2011 consid. 4.1 ; 2C_974/2010 du 11 janvier 2011 consid.</w:t>
      </w:r>
    </w:p>
    <w:p>
      <w:r>
        <w:rPr>
          <w:b/>
        </w:rPr>
        <w:t>E. 2.5</w:t>
      </w:r>
    </w:p>
    <w:p>
      <w:r>
        <w:t>ad art. 76a, p. 808).</w:t>
      </w:r>
    </w:p>
    <w:p>
      <w:r>
        <w:rPr>
          <w:b/>
        </w:rPr>
        <w:t>E. 3</w:t>
      </w:r>
    </w:p>
    <w:p>
      <w:r>
        <w:t>En l’espèce, M. A______ a, par courrier du 5 décembre 2024, sollicité le contrôle par le tribunal de la légalité et de l’adéquation de sa détention.</w:t>
      </w:r>
    </w:p>
    <w:p>
      <w:r>
        <w:rPr>
          <w:b/>
        </w:rPr>
        <w:t>E. 3.1</w:t>
      </w:r>
    </w:p>
    <w:p>
      <w:r>
        <w:t>; 2C_756/2009 du 15 décembre 2009 consid. 2.1). 14. En l'occurrence, M. A______ a fait l’objet d’une expulsion judiciaire de Suisse prononcée par le Tribunal de police le 19 septembre 2024 pour une durée de 3 ans. Il a été condamné à plusieurs reprises, notamment pour des infractions en lien avec les stupéfiants. Il n’a surtout pas respecté la décision d’interdiction de pénétrer dans le canton de Genève prise à son encontre le 23 mars 2024 et a été condamné pour ce motif par le Tribunal de police le 19 septembre 2024. Il ne ressort pas du dossier qu’il aurait de quelconques attaches à Genève ni de lieu de résidence, ayant du reste déclaré vivre chez une amie à B______(France). L’assurance de son départ de Suisse répond par ailleurs à un intérêt public certain et le risque qu’il se soustraie à son renvoi en cas de remise en liberté ne peut être écarté, étant souligné que M. A______ a déposé deux demandes d’asile, une en France et un en Italie et qu’à ce jour les autorités ne savent pas vers quel pays il sera renvoyé. Les conditions pour une détention fondée sur l’art. 76 a al. 2 let. d et g LEI sont dès lors remplies.</w:t>
      </w:r>
    </w:p>
    <w:p>
      <w:r>
        <w:rPr>
          <w:b/>
        </w:rPr>
        <w:t>E. 4</w:t>
      </w:r>
    </w:p>
    <w:p>
      <w:r>
        <w:t>Le tribunal peut confirmer, réformer ou annuler la décision du commissaire de police ; le cas échéant, il ordonne la mise en liberté de l’étranger (art. 9 al. 3 LaLEtr).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w:t>
      </w:r>
    </w:p>
    <w:p>
      <w:r>
        <w:t>- 5/9 - A/4055/2024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6</w:t>
      </w:r>
    </w:p>
    <w:p>
      <w:r>
        <w:t>Selon l’art. 28 ch.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ch.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rPr>
          <w:b/>
        </w:rPr>
        <w:t>E. 7</w:t>
      </w:r>
    </w:p>
    <w:p>
      <w:r>
        <w:t>À teneur de l'art. 76a al. 1 LEI, afin d'assurer son renvoi dans l'État Dublin responsable, l'autorité compétente peut mettre l'étranger en détention sur la base d'une évaluation individuelle lorsque les conditions suivantes sont remplies : des éléments concrets font craindre que l'étranger concerné n'entende se soustraire au renvoi (let. a), la détention est proportionnée (let. b) et d'autres mesures moins coercitives ne peuvent être appliquées de manière efficace (art. 28 par. 2 du règlement [UE] n° 604/2013) (let. c).</w:t>
      </w:r>
    </w:p>
    <w:p>
      <w:r>
        <w:rPr>
          <w:b/>
        </w:rPr>
        <w:t>E. 8</w:t>
      </w:r>
    </w:p>
    <w:p>
      <w:r>
        <w:t>Selon l'art. 76a al. 2 LEI, les éléments concrets font craindre que l'étranger entende se soustraire à l'exécution du renvoi s’il quitte la région qui lui est assignée ou pénètre dans une zone qui lui est interdite en vertu de l’art. 74 (let. d) ou s’il menace sérieusement d’autres personnes ou met gravement en danger leur vie ou leur intégrité corporelle et fait l’objet d’une poursuite pénale ou a été condamné pour ce motif (let. g).</w:t>
      </w:r>
    </w:p>
    <w:p>
      <w:r>
        <w:rPr>
          <w:b/>
        </w:rPr>
        <w:t>E. 9</w:t>
      </w:r>
    </w:p>
    <w:p>
      <w:r>
        <w:t>Les motifs énumérés, de manière exhaustive, à l'art. 76a al. 2 LEI correspondent en principe à ceux déjà retenus aux art. 75 et 76 LEI (Gregor CHATTON/ Laurent MERZ in Code annoté de droit des migrations, volume II : loi sur les étrangers, n°</w:t>
      </w:r>
    </w:p>
    <w:p>
      <w:r>
        <w:rPr>
          <w:b/>
        </w:rPr>
        <w:t>E. 10</w:t>
      </w:r>
    </w:p>
    <w:p>
      <w:r>
        <w:t>Sous l'angle de l'art. 76a al. 2 let. g LEI,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w:t>
      </w:r>
    </w:p>
    <w:p>
      <w:r>
        <w:rPr>
          <w:b/>
        </w:rPr>
        <w:t>E. 15</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16</w:t>
      </w:r>
    </w:p>
    <w:p>
      <w:r>
        <w:t>En l'espèce, l'autorité chargée du renvoi a agi avec diligence et célérité, dès lors qu’elle procédé à l’audition de M. A______ dans le cadre d’une procédure de réadmission Schengen-Dublin et que les démarches en vue de sa reprise en charge apparaissent être en cours au niveau du SEM.</w:t>
      </w:r>
    </w:p>
    <w:p>
      <w:r>
        <w:t>- 8/9 - A/4055/2024</w:t>
      </w:r>
    </w:p>
    <w:p>
      <w:r>
        <w:rPr>
          <w:b/>
        </w:rPr>
        <w:t>E. 17</w:t>
      </w:r>
    </w:p>
    <w:p>
      <w:r>
        <w:t>Enfin, la durée de la détention de sept semaines est conforme à l’art. 76a al. 3 let. a LEI.</w:t>
      </w:r>
    </w:p>
    <w:p>
      <w:r>
        <w:rPr>
          <w:b/>
        </w:rPr>
        <w:t>E. 18</w:t>
      </w:r>
    </w:p>
    <w:p>
      <w:r>
        <w:t>Eu égard à l'ensemble des circonstances, il y a lieu de confirmer l'ordre de mise en détention administrative pris pour une durée de sept semaines.</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A/4055/2024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