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JTAPI/11/2024 vom 8. Januar 2024</w:t>
      </w:r>
    </w:p>
    <w:p>
      <w:r>
        <w:t>GE Cour de justice, 2024-01-08, FR</w:t>
      </w:r>
    </w:p>
    <w:p>
      <w:r>
        <w:rPr>
          <w:b/>
        </w:rPr>
        <w:t xml:space="preserve">Quelle: </w:t>
      </w:r>
      <w:r>
        <w:t>https://mcp.opencaselaw.ch/entscheid/ge_gerichte_JTAPI_11_2024</w:t>
      </w:r>
    </w:p>
    <w:p>
      <w:r>
        <w:t>FR: GE_GERICHTE JTAPI/11/2024 du 8 janvier 2024</w:t>
      </w:r>
    </w:p>
    <w:p>
      <w:r>
        <w:t>IT: GE_GERICHTE JTAPI/11/2024 del 8 gennaio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Interjetés en temps utile et dans les formes prescrites devant la juridiction compétente, les recours sont recevables au sens des art. 49 LPFisc et 140 LIFD.</w:t>
      </w:r>
    </w:p>
    <w:p>
      <w:r>
        <w:rPr>
          <w:b/>
        </w:rPr>
        <w:t>E. 3</w:t>
      </w:r>
    </w:p>
    <w:p>
      <w:r>
        <w:t>Comme le précisent les recourants dans leur réplique, seule demeure litigieuse la question de savoir si leur dénonciation est intervenue spontanément, en ce qu’elle concernait leurs revenus et avoirs mobiliers. Ils ont ainsi admis, à tout le moins implicitement, la conclusion de l'AFC-GE tendant à une augmentation des montants des amendes infligées au recourant, pour un total de CHF 2'600.-, en raison de la réduction de celles notifiées à la recourante, à concurrence de CHF 29'600.-. Il convient de relever également que l’annulation, par l'AFC-GE, des bordereaux de rappels d’impôt ICC et IFD 2016 implique également celle des amendes y relatives.</w:t>
      </w:r>
    </w:p>
    <w:p>
      <w:r>
        <w:rPr>
          <w:b/>
        </w:rPr>
        <w:t>E. 4</w:t>
      </w:r>
    </w:p>
    <w:p>
      <w:r>
        <w:t>Aux termes des art. 175 al. 3 LIFD et 69 al. 3 LPFisc, lorsque le contribuable dénonce spontanément et pour la première fois une soustraction d'impôt, il est renoncé à la poursuite pénale (dénonciation spontanée non punissable), à condition : qu'aucune autorité fiscale n'en ait connaissance (let. a) ; qu'il collabore sans réserve avec l'administration pour déterminer le montant du rappel d'impôt (let. b) ; qu'il s'efforce d'acquitter le rappel d'impôt dû (let. c).</w:t>
      </w:r>
    </w:p>
    <w:p>
      <w:r>
        <w:rPr>
          <w:b/>
        </w:rPr>
        <w:t>E. 5</w:t>
      </w:r>
    </w:p>
    <w:p>
      <w:r>
        <w:t>Selon la jurisprudence, bien que la loi ne pose pas de conditions formelles, la simple mention d'un élément de revenu ou de fortune non déclaré par le passé, sans autre indication, ne constitue pas une dénonciation au sens des dispositions précitées. Dans un tel cas de figure, l'administration fiscale ne peut pas, de bonne foi, reconnaître, sur la base des informations données, que des éléments de fortune et/ou de revenu ont été soustraits et qu'il s'agit d'une dénonciation. Une telle attitude, qui viserait à laisser le soin au fisc de découvrir les biens non déclarés précédemment et, dans l'hypothèse où il y parvient, à invoquer une dénonciation spontanée, contreviendrait au principe de la bonne foi et ne mérite aucune protection (cf. arrêt du Tribunal fédéral 2C_281/2019 du 26 septembre 2019 consid. 7.2 et les références citées ; Pietro SANSONETTI, Danielle HOSTETTLER in op. cit., art. 175 al. 3, p. 1997, n. 50).</w:t>
      </w:r>
    </w:p>
    <w:p>
      <w:r>
        <w:t>- 6/9 - A/520/2023</w:t>
      </w:r>
    </w:p>
    <w:p>
      <w:r>
        <w:t>Ainsi, la dénonciation spontanée doit comporter tous les éléments de revenus et de fortune non déclarés. Lorsque l'autorité fiscale constate, après l'ouverture d'une procédure de rappel faisant suite à une dénonciation spontanée, que la soustraction fiscale dépasse les éléments déclarés dans ladite dénonciation, l'exemption de peine ne peut plus être accordée. À défaut, la dénonciation spontanée permettrait au contribuable de bénéficier de l'absence de sanction pénale également pour tous les éléments non déclarés découverts par l'autorité fiscale lors de la procédure de rappel d'impôts (ATA/1850/2019 du 20 décembre 2019 consid. 3c et les références citées).</w:t>
      </w:r>
    </w:p>
    <w:p>
      <w:r>
        <w:rPr>
          <w:b/>
        </w:rPr>
        <w:t>E. 6</w:t>
      </w:r>
    </w:p>
    <w:p>
      <w:r>
        <w:t>ss et les références).</w:t>
      </w:r>
    </w:p>
    <w:p>
      <w:r>
        <w:t>En outre, si les autorités fiscales parviennent à la conclusion que la soustraction va au-delà de la dénonciation, l'exemption de la peine ne sera pas accordée (arrêt du Tribunal fédéral 2C_133/2020 du juillet 2020 consid. 5.4.2 et les références).</w:t>
      </w:r>
    </w:p>
    <w:p>
      <w:r>
        <w:t>- 7/9 - A/520/2023</w:t>
      </w:r>
    </w:p>
    <w:p>
      <w:r>
        <w:rPr>
          <w:b/>
        </w:rPr>
        <w:t>E. 7</w:t>
      </w:r>
    </w:p>
    <w:p>
      <w:r>
        <w:t>En l’espèce, il est douteux que le contenu laconique de la dénonciation des recourants du 29 août 2018 répondait d'emblée à l'exigence légale d'exposer l'ensemble des éléments soustrait à l’imposition, puisqu’elle ne précisait ni les éléments non déclarés ni les années fiscales concernées. De même, dans leurs écritures complémentaires du 31 août 2018, ils se sont limités à indiquer qu’il était « probable » que « d'autre éléments de fortune » n'avaient pas été déclarés. Quoi qu’il en soit, il n’est pas nécessaire d'examiner cette question plus avant, leur grief devant toute façon être rejeté pour les motifs suivants. Le 7 juin 2018, soit près de 3 mois avant leur dénonciation du 29 août 2018, l'AFC-GE leur a notamment demandé, dans le cadre de l’instruction de leur taxation 2016, d’expliquer l’augmentation de leur fortune de CHF 253'543.-, ce dont elle ne pouvait se rendre compte sans avoir préalablement consulté les montants de la fortune qu’ils avaient déclarés pour leurs taxations antérieures, entrées en force. Ainsi, elle était bel et bien en train d'enquêter sur leur dossier lorsqu’ils ont déposé leur dénonciation. Les recourants soutiennent que leur spontanéité devrait être reconnue à l’égard des éléments que l'AFC-GE ne pouvait pas découvrir sans leur dénonciation, à savoir leurs avoirs couverts par le secret bancaire et leurs immeubles à l’étranger qui échappaient aux échanges internationaux automatiques. Ils prétendent qu’en pareilles conditions, leur dénonciation était forcément spontanée. Ils ne sauraient être suivis, puisqu’ils ne pouvaient pas expliquer l’augmentation de leur fortune autrement que par l’annonce de leurs comptes et immeubles non déclarés. En effet, pour pouvoir fournir à l'AFC-GE cette explication, qu’elle a requise expressément, ils devaient nécessairement dénoncer ces éléments. Ils ont ainsi été contraints de les déclarer. Ainsi, on ne saurait admettre que leur démarche a été spontanée, puisqu’ils l’ont effectuée sous la pression de l'AFC-GE. Dans ces conditions, il convient de retenir que la condition de spontanéité des art. 175 al. 3 LIFD et 69 al. 3 LPFisc n'est pas réalisée.</w:t>
      </w:r>
    </w:p>
    <w:p>
      <w:r>
        <w:rPr>
          <w:b/>
        </w:rPr>
        <w:t>E. 8</w:t>
      </w:r>
    </w:p>
    <w:p>
      <w:r>
        <w:t>Au vu de ce qui précède, les amendes relatives aux ICC et IFD 2012 à 2015 seront confirmées dans leur principe. Leur quotité sera rectifiée dans la mesure que l'AFC-GE a reconnue dans le cadre de la présente procédure, étant rappelé que le recourant ne s’est pas opposé à l’augmentation des montants des amendes le concernant. Les bordereaux d’amende ICC et IFD 2016 seront annulés, l'AFC-GE ayant annulé les bordereaux de rappel d’impôt y relatifs.</w:t>
      </w:r>
    </w:p>
    <w:p>
      <w:r>
        <w:rPr>
          <w:b/>
        </w:rPr>
        <w:t>E. 9</w:t>
      </w:r>
    </w:p>
    <w:p>
      <w:r>
        <w:t>Au vu de ce qui précède, les recours seront admis partiellement et le dossier renvoyé à l'AFC-GE pour nouveaux bordereaux d’amende ICC et IFD 2012 à 2015 tenant compte des rectifications qu’elle a admises dans le cadre de la présente procédure.</w:t>
      </w:r>
    </w:p>
    <w:p>
      <w:r>
        <w:t>- 8/9 - A/520/2023</w:t>
      </w:r>
    </w:p>
    <w:p>
      <w:r>
        <w:rPr>
          <w:b/>
        </w:rPr>
        <w:t>E. 10</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dans une large mesure, sont condamnées au paiement d’un émolument s'élevant à CHF 700.- ; il est couvert par l’avance de frais versée à la suite du dépôt du recours.</w:t>
      </w:r>
    </w:p>
    <w:p>
      <w:r>
        <w:rPr>
          <w:b/>
        </w:rPr>
        <w:t>E. 11</w:t>
      </w:r>
    </w:p>
    <w:p>
      <w:r>
        <w:t>Vu l’issue du litige, une indemnité de procédure de CHF 350.- leur sera allouée à titre de dépens (art. 87 al. 2 LPA).</w:t>
      </w:r>
    </w:p>
    <w:p>
      <w:r>
        <w:t>- 9/9 - A/520/2023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