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JTAPI/1199/2024 vom 6. Dezember 2024</w:t>
      </w:r>
    </w:p>
    <w:p>
      <w:r>
        <w:t>GE Cour de justice, 2024-12-06, FR</w:t>
      </w:r>
    </w:p>
    <w:p>
      <w:r>
        <w:rPr>
          <w:b/>
        </w:rPr>
        <w:t xml:space="preserve">Quelle: </w:t>
      </w:r>
      <w:r>
        <w:t>https://mcp.opencaselaw.ch/entscheid/ge_gerichte_JTAPI_1199_2024</w:t>
      </w:r>
    </w:p>
    <w:p>
      <w:r>
        <w:t>FR: GE_GERICHTE JTAPI/1199/2024 du 6 décembre 2024</w:t>
      </w:r>
    </w:p>
    <w:p>
      <w:r>
        <w:t>IT: GE_GERICHTE JTAPI/1199/2024 del 6 dicembre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60 ss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w:t>
      </w:r>
    </w:p>
    <w:p>
      <w:r>
        <w:rPr>
          <w:b/>
        </w:rPr>
        <w:t>E. 4</w:t>
      </w:r>
    </w:p>
    <w:p>
      <w:r>
        <w:t>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5</w:t>
      </w:r>
    </w:p>
    <w:p>
      <w:r>
        <w:t>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6</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t>- 8/13 - A/4219/2023</w:t>
      </w:r>
    </w:p>
    <w:p>
      <w:r>
        <w:rPr>
          <w:b/>
        </w:rPr>
        <w:t>E. 7</w:t>
      </w:r>
    </w:p>
    <w:p>
      <w:r>
        <w:t>Pour déterminer la durée et s’il y a lieu de prononcer un retrait d’admonestation, la LCR distingue les infractions légères, moyennement graves et graves (art. 16a à 16c LCR).</w:t>
      </w:r>
    </w:p>
    <w:p>
      <w:r>
        <w:rPr>
          <w:b/>
        </w:rPr>
        <w:t>E. 8</w:t>
      </w:r>
    </w:p>
    <w:p>
      <w:r>
        <w:t>En vertu de l’art. 16c al. 1 let. f LCR, commet une infraction grave, sans égard aux circonstances dans lesquelles celle-ci a été commise (cf. arrêt du Tribunal fédéral 1C_414/2019 du 28 août 2019 consid. 2), la personne qui conduit un véhicule automobile alors que le permis de conduire lui a été retiré.</w:t>
      </w:r>
    </w:p>
    <w:p>
      <w:r>
        <w:rPr>
          <w:b/>
        </w:rPr>
        <w:t>E. 9</w:t>
      </w:r>
    </w:p>
    <w:p>
      <w:r>
        <w:t>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w:t>
      </w:r>
    </w:p>
    <w:p>
      <w:r>
        <w:rPr>
          <w:b/>
        </w:rPr>
        <w:t>E. 10</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11</w:t>
      </w:r>
    </w:p>
    <w:p>
      <w:r>
        <w:t>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w:t>
      </w:r>
    </w:p>
    <w:p>
      <w:r>
        <w:rPr>
          <w:b/>
        </w:rPr>
        <w:t>E. 12</w:t>
      </w:r>
    </w:p>
    <w:p>
      <w:r>
        <w:t>Le droit suisse prévoit que l'usage d'un permis étranger peut être interdit en vertu des dispositions qui s'appliquent au retrait du permis de conduire suisse (art. 45 al. 1 OAC ; cf. ATA/390/2018 du 24 avril 2018 consid. 3b).</w:t>
      </w:r>
    </w:p>
    <w:p>
      <w:r>
        <w:rPr>
          <w:b/>
        </w:rPr>
        <w:t>E. 13</w:t>
      </w:r>
    </w:p>
    <w:p>
      <w:r>
        <w:t>Les règles et principes énoncés ci-dessus sont donc applicables mutatis mutandis à l'interdiction de faire usage du permis de conduire étranger, notamment français, sur le territoire suisse.</w:t>
      </w:r>
    </w:p>
    <w:p>
      <w:r>
        <w:rPr>
          <w:b/>
        </w:rPr>
        <w:t>E. 14</w:t>
      </w:r>
    </w:p>
    <w:p>
      <w:r>
        <w:t>En l'espèce, le recourant allègue qu'il n’a jamais reçu la décision du 23 novembre 2022 prononcée par l’OCV, lui faisant interdiction de faire usage de son permis de conduire étranger sur le territoire suisse pour une durée de trois mois, valable du 18</w:t>
      </w:r>
    </w:p>
    <w:p>
      <w:r>
        <w:t>- 9/13 - A/4219/2023 janvier 2023 au 17 avril 2023, dates incluses. Ainsi, s’il avait été au courant de cette interdiction, il n'aurait pas circulé en Suisse le 21 février 2023, de sorte que l’infraction en question ne pouvait lui être reprochée.</w:t>
      </w:r>
    </w:p>
    <w:p>
      <w:r>
        <w:rPr>
          <w:b/>
        </w:rPr>
        <w:t>E. 15</w:t>
      </w:r>
    </w:p>
    <w:p>
      <w:r>
        <w:t>Selon l'art. 62 al. 4 LPA, la décision qui n’est remise que contre la signature du destinataire ou d’un tiers habilité est réputée reçue au plus tard sept jours après la première tentative infructueuse de distribution.</w:t>
      </w:r>
    </w:p>
    <w:p>
      <w:r>
        <w:rPr>
          <w:b/>
        </w:rPr>
        <w:t>E. 16</w:t>
      </w:r>
    </w:p>
    <w:p>
      <w:r>
        <w:t>La notification d’un acte soumis à réception, comme une décision ou une communication de procédure, est réputée faite au moment où l’envoi entre dans la sphère de pouvoir de son destinataire (Pierre MOOR/Étienne POLTIER, Droit administratif, vol. II, 3e éd., 2011, n. 2.2.8.3 p. 302 s). Il suffit que celui-ci puisse en prendre connaissance (ATF 137 III 308 consid. 3.1.2 ; 118 II 42 consid. 3b).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Un envoi est réputé notifié à la date à laquelle son destinataire le reçoit effectivement (ATA/378/2014 précité consid. 3b).</w:t>
      </w:r>
    </w:p>
    <w:p>
      <w:r>
        <w:rPr>
          <w:b/>
        </w:rPr>
        <w:t>E. 17</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ATA 130 III 396 consid. 1.2.3)</w:t>
      </w:r>
    </w:p>
    <w:p>
      <w:r>
        <w:rPr>
          <w:b/>
        </w:rPr>
        <w:t>E. 18</w:t>
      </w:r>
    </w:p>
    <w:p>
      <w:r>
        <w:t>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(arrêt du Tribunal fédéral 8C_754/2018 du 7 mars 2019 consid. 7. 2.1 ; Thierry TANQUEREL, Manuel de droit administratif, 2ème édit. 2018, n° 1570 ; Stéphane GRODECKI/Romain JORDAN, Code annoté de procédure administrative genevoise, 2017, n° 297 ad art. 17 LPA; Pierre MOOR/Étienne POLTIER, Droit administratif, vol. II, 3e éd. 2011, p. 352). Il n'est donc pas nécessaire que le destinataire ait personnellement en main la décision en cause, encore moins qu'il en prenne effectivement connaissance (ATF 142 III 599 consid. 2.4.1 p. 603; 109 Ia 15 consid. 4 p. 18).</w:t>
      </w:r>
    </w:p>
    <w:p>
      <w:r>
        <w:rPr>
          <w:b/>
        </w:rPr>
        <w:t>E. 19</w:t>
      </w:r>
    </w:p>
    <w:p>
      <w:r>
        <w:t>Lorsque le destinataire d'un envoi recommandé n'est pas atteint et qu'un avis de retrait est déposé dans sa boîte aux lettres ou dans sa case postale, cet envoi est considéré comme notifié au moment où il est retiré. Si le retrait n'a pas lieu dans le</w:t>
      </w:r>
    </w:p>
    <w:p>
      <w:r>
        <w:t>- 10/13 - A/4219/2023 délai de garde de sept jours, il est réputé notifié le dernier jour de ce délai (ATF 134 V 49 consid. 4 p. 51; 130 III 396 consid. 1.2.3 p. 399; arrêt du Tribunal fédéral 1C_171/2011 du 26 mai 2011).</w:t>
      </w:r>
    </w:p>
    <w:p>
      <w:r>
        <w:rPr>
          <w:b/>
        </w:rPr>
        <w:t>E. 20</w:t>
      </w:r>
    </w:p>
    <w:p>
      <w:r>
        <w:t>En France, le système de distribution des plis recommandés est similaire au système postal helvétique. En effet, les « Conditions spécifiques de vente applicables à la Lettre recommandée nationale et à la lettre recommandée internationale de La Poste (VERSION NUMERO 18 DU 01/01/2023) » stipule, à son art. 8.2, qu’en cas d’impossibilité de remettre une lettre recommandée nationale contre signature de son destinataire ou de son mandataire, un avis de passage est déposé par le préposé à la distribution dans la boite aux lettres du destinataire, et la lettre recommandée est mise en instance pour une durée de quinze jours calendaires courant à compter du lendemain de la première présentation.</w:t>
      </w:r>
    </w:p>
    <w:p>
      <w:r>
        <w:rPr>
          <w:b/>
        </w:rPr>
        <w:t>E. 21</w:t>
      </w:r>
    </w:p>
    <w:p>
      <w:r>
        <w:t>Cette fiction de notification ne s’applique cependant que si son destinataire devait s’attendre, avec une certaine vraisemblance, à recevoir une communication des autorités, ce qui est le cas chaque fois qu’il est partie à une procédure pendante (ATF 139 IV 228 consid. 1.1 ; 137 III 208 consid. 3.1.2). Elle suppose en outre que l’avis de retrait a été déposé dans la boîte aux lettres ou la case postale du destinataire et qu’il soit arrivé par conséquent dans sa sphère privée (ATF 116 III 59 consid. 1b).</w:t>
      </w:r>
    </w:p>
    <w:p>
      <w:r>
        <w:rPr>
          <w:b/>
        </w:rPr>
        <w:t>E. 22</w:t>
      </w:r>
    </w:p>
    <w:p>
      <w:r>
        <w:t>D’une manière générale, l’administré, lorsqu’il doit s’attendre à recevoir une décision, doit prendre des dispositions pour faire en sorte d’être atteint. Tel n’est pas le cas de celui qui, dans cette situation, part en vacances sans prendre de dispositions pour avertir l’autorité de son absence, ou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sept jours (ATF 134 V 49 consid. 4). C’est seulement en l’absence d’un empêchement non fautif du destinataire de la décision que la notification de celle-ci ne déploie pas ses effets ou que ceux-ci sont reportés (ATA/1032/2023 précité consid. 2.2.2).</w:t>
      </w:r>
    </w:p>
    <w:p>
      <w:r>
        <w:rPr>
          <w:b/>
        </w:rPr>
        <w:t>E. 23</w:t>
      </w:r>
    </w:p>
    <w:p>
      <w:r>
        <w:t>Ainsi,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(Cédric MIZEL, Droit et pratique illustrée du retrait du permis de conduire, 2015 p. 510).</w:t>
      </w:r>
    </w:p>
    <w:p>
      <w:r>
        <w:rPr>
          <w:b/>
        </w:rPr>
        <w:t>E. 24</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w:t>
      </w:r>
    </w:p>
    <w:p>
      <w:r>
        <w:t>- 11/13 - A/4219/2023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w:t>
      </w:r>
    </w:p>
    <w:p>
      <w:r>
        <w:rPr>
          <w:b/>
        </w:rPr>
        <w:t>E. 25</w:t>
      </w:r>
    </w:p>
    <w:p>
      <w:r>
        <w:t>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w:t>
      </w:r>
    </w:p>
    <w:p>
      <w:r>
        <w:rPr>
          <w:b/>
        </w:rPr>
        <w:t>E. 26</w:t>
      </w:r>
    </w:p>
    <w:p>
      <w:r>
        <w:t>En l’espèce, conformément à la loi et à la jurisprudence rappelées ci-dessus, le pli recommandé du 23 novembre 2022, n’ayant pas été retiré dans le délai de garde, celui-ci est réputé avoir été notifié au recourant à l’échéance du délai de garde, la fiction de la notification lui étant opposable. Par ailleurs, à teneur du dossier transmis au tribunal, après l'accident du 23 mai 2022, le recourant a été informé par courrier de l’OCV du 14 octobre 2022, envoyé à l’adresse indiquée dans la demande de renseignements de l’OCV du 25 mai 2022 à la police, qu’une mesure administrative pourrait être prononcé à son encontre et qu’il pouvait exercer son droit d’être entendu par écrit, ce qu’il n’a pas fait. Ce courrier n’a pas été renvoyé à l’OCV. Il s'en suit que le recourant ne pouvait ignorer, qu'en sus des possibles conséquences pénales, une procédure administrative serait vraisemblablement ouverte à son encontre, étant encore relevé que le recourant avait déjà fait l'objet de deux avertissements en 2015 et 2018. Partant, il devait s’attendre, avec une vraisemblance certaine, à recevoir une communication des autorités et devait en conséquence prendre des dispositions pour faire en sorte d’être atteint, ce qu'il n'a pas fait. Ainsi, il y a lieu de considérer que c’est à juste titre que l’OCV a retenu que le recourant ne s’est pas soumis à l'interdiction de faire usage de son permis de conduire étranger sur le territoire suisse le 21 février 2023 et que, ce faisant, il a commis une infraction grave (art. 16c al. 1 let. f LCR), étant encore relevé que, si le recourant estimait qu'il n'aurait pas dû être condamné pour ces faits, il lui revenait de faire opposition à l'ordonnance pénale du 5 juin 2023, ce qu'il n'a pas fait. Dans ces conditions, compte tenu des antécédents du recourant, la mesure prononcée par l’OCV, qui correspond à la durée minimale incompressible prescrite par l’art. 16c al. 2 let. c LCR, soit douze mois, est conforme au droit et à la</w:t>
      </w:r>
    </w:p>
    <w:p>
      <w:r>
        <w:t>- 12/13 - A/4219/2023 jurisprudence précités. Liée par cette durée, l’autorité a correctement appliqué la loi et n’a pas excédé ou abusé de son pouvoir d’appréciation. Le même raisonnement s'applique s'agissant des besoins professionnels invoqués par le recourant qui ne peuvent ainsi pas être pris en compte. Dès lors, sa décision ne peut être que confirmée.</w:t>
      </w:r>
    </w:p>
    <w:p>
      <w:r>
        <w:rPr>
          <w:b/>
        </w:rPr>
        <w:t>E. 27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- 13/13 - A/4219/2023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