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JTAPI/1197/2021 vom 10. Januar 2019</w:t>
      </w:r>
    </w:p>
    <w:p>
      <w:r>
        <w:t>GE Cour de justice, 2019-01-10, FR</w:t>
      </w:r>
    </w:p>
    <w:p>
      <w:r>
        <w:rPr>
          <w:b/>
        </w:rPr>
        <w:t xml:space="preserve">Quelle: </w:t>
      </w:r>
      <w:r>
        <w:t>https://mcp.opencaselaw.ch/entscheid/ge_gerichte_JTAPI_1197_2021</w:t>
      </w:r>
    </w:p>
    <w:p>
      <w:r>
        <w:t>FR: GE_GERICHTE JTAPI/1197/2021 du 10 janvier 2019</w:t>
      </w:r>
    </w:p>
    <w:p>
      <w:r>
        <w:t>IT: GE_GERICHTE JTAPI/1197/2021 del 10 gennaio 2019</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w:t>
      </w:r>
    </w:p>
    <w:p>
      <w:r>
        <w:t>- 4/7 - A/4042/2021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26 novembre 2021 à 15h00.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4</w:t>
      </w:r>
    </w:p>
    <w:p>
      <w:r>
        <w:t>Selon l'art. 76 al. 1 let. b ch. 1 LEI, en lien avec l'art. 75 al. 1 let. c et h LEI, après notification d'une décision de première instance de renvoi ou d'une décision de première instance d'expulsion au sens des art. 66a ou 66abis CP, l'autorité compétente peut, afin d'en assurer l'exécution, mettre en détention la personne concernée notamment lorsque celle-ci quitte la région qui lui est assignée ou pénètre dans une zone qui lui est interdite en vertu de l’art. 74 (let. c) et a été condamnée pour crime, par quoi il faut entendre une infraction passible d'une peine privative de liberté de plus de trois ans (let. h ; cf. art. 10 al. 2 CP ; ATA/220/2018 du 8 mars 2018 consid. 4a).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5</w:t>
      </w:r>
    </w:p>
    <w:p>
      <w:r>
        <w:t>La détention administrative en matière de droit des étrangers doit dans tous les cas respecter le principe de la proportionnalité (cf. art. 5 al. 2 et 36 Cst. et art. 80 et 96 LEtr ; arrêts du Tribunal fédéral 2C_765/2015du 18 septembre 2015 consid. 5.3 ; 2C_334/2015 du 19 mai 2015 consid. 2.2 ; 2C_218/2013 du 26 mars 2013 consid.</w:t>
      </w:r>
    </w:p>
    <w:p>
      <w:r>
        <w:rPr>
          <w:b/>
        </w:rPr>
        <w:t>E. 5.1</w:t>
      </w:r>
    </w:p>
    <w:p>
      <w:r>
        <w:t>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w:t>
      </w:r>
    </w:p>
    <w:p>
      <w:r>
        <w:t>- 5/7 - A/4042/2021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 5.1 et les références citées ; cf. aussi ATF 130 II 425 consid. 5.2).</w:t>
      </w:r>
    </w:p>
    <w:p>
      <w:r>
        <w:rPr>
          <w:b/>
        </w:rPr>
        <w:t>E. 6</w:t>
      </w:r>
    </w:p>
    <w:p>
      <w:r>
        <w:t>En l'espèce, M. A______ fait l'objet de deux mesures d'expulsion judiciaire, en force et exécutoire, prononcée les 10 janvier 2019 et 20 mai 2020. La dernière mesure a été prononcée à vie. Il a en outre été condamné notamment pour vols, tentatives de vols et vol par métier, infraction qualifiée de crime (cf art. 10 al. 2 cum 139 CP). Sa détention administrative se justifie ainsi sous l'angle des art. 75 al. 1 let. h et 76 al. 1 let. b ch. 1 LEI, ce motif permettant à lui seul le prononcé d'une telle mesure (cf. ATA/180/2016 du 25 février 2016 consid. 7). L'assurance du départ de Suisse de l'intéressé répond ainsi à un intérêt public certain et toute autre mesure moins incisive que la détention administrative serait vaine pour assurer sa présence au moment où il devra être refoulé. Pour rappel, celui-ci ne dispose d'aucun titre de séjour, ni de domicile fixe ou résidence stable en Suisse. Il est en outre sans aucune source de revenu ni moyen de subsistance et n'a aucune relation établie ni lien social connu à Genève. La détention respecte par conséquent le principe de la proportionnalité.</w:t>
      </w:r>
    </w:p>
    <w:p>
      <w:r>
        <w:rPr>
          <w:b/>
        </w:rPr>
        <w:t>E. 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8</w:t>
      </w:r>
    </w:p>
    <w:p>
      <w:r>
        <w:t>Le principe de célérité oblige simplement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w:t>
      </w:r>
    </w:p>
    <w:p>
      <w:r>
        <w:rPr>
          <w:b/>
        </w:rPr>
        <w:t>E. 9</w:t>
      </w:r>
    </w:p>
    <w:p>
      <w:r>
        <w:t>En l'espèce, les autorités ont agi avec célérité, puisqu'elles ont immédiatement entamé les démarches idoines en vue du renvoi de Suisse de l'intéressé en Géorgie. Le renvoi par vol DEPU initialement envisagé s'étant révélé impossible en raison du comportement de l'intéressé durant sa détention pénale, ce dernier a immédiatement été inscrit sur un vol spécial, lequel devrait pouvoir avoir lieu dans les trois semaines déjà.</w:t>
      </w:r>
    </w:p>
    <w:p>
      <w:r>
        <w:t>- 6/7 - A/4042/2021 Le principe de célérité posé par l'art. 76 al. 4 LEI est donc respecté.</w:t>
      </w:r>
    </w:p>
    <w:p>
      <w:r>
        <w:rPr>
          <w:b/>
        </w:rPr>
        <w:t>E. 10</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dans ces circonstances, la détention administrative peut atteindre dix-huit mois (cf. not. ATA/22/2017 du 12 janvier 2017 ; ATA/1052/2016 du 14 décembre 2016 ; ATA/1017/2016 du 6 décembre 2016 ; ATA/3/2013 du 3 janvier 2013 ; ATA/40/2012 du 19 janvier 2012).</w:t>
      </w:r>
    </w:p>
    <w:p>
      <w:r>
        <w:rPr>
          <w:b/>
        </w:rPr>
        <w:t>E. 11</w:t>
      </w:r>
    </w:p>
    <w:p>
      <w:r>
        <w:t>Dans tous les cas, la durée de la détention doit être proportionnée par rapport aux circonstances d'espèce (arrêts du Tribunal fédéral 2C_18/2016 du 2 février 2016 consid. 4.2 ; 2C_218/2013 du 26 mars 2013 consid. 2.3).</w:t>
      </w:r>
    </w:p>
    <w:p>
      <w:r>
        <w:rPr>
          <w:b/>
        </w:rPr>
        <w:t>E. 12</w:t>
      </w:r>
    </w:p>
    <w:p>
      <w:r>
        <w:t>En l'espèce, la durée de détention de quatre semaines décidée par le commissaire de police respecte le cadre légal et n'apparaît pas disproportionnée. Sa portée s'avère au demeurant relative puisque le renvoi de l'intéressé devrait vraisemblablement avoir lieu d'ici à trois semaines. Sa détention prendra alors immédiatement fin. Cette durée permettra en outre à l'autorité compétente de disposer du temps nécessaire pour déposer auprès du tribunal une demande de prolongation de la détention dans le délai légal de huit jours ouvrables, si cela devait s'avérer nécessaire.</w:t>
      </w:r>
    </w:p>
    <w:p>
      <w:r>
        <w:rPr>
          <w:b/>
        </w:rPr>
        <w:t>E. 13</w:t>
      </w:r>
    </w:p>
    <w:p>
      <w:r>
        <w:t>Au vu de ce qui précède, il y a lieu de confirmer l'ordre de mise en détention administrative de M. A______ pour une durée de quatre semaines.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A/4042/2021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