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JTAPI/1195/2024 vom 6. Dezember 2024</w:t>
      </w:r>
    </w:p>
    <w:p>
      <w:r>
        <w:t>GE Cour de justice, 2024-12-06, FR</w:t>
      </w:r>
    </w:p>
    <w:p>
      <w:r>
        <w:rPr>
          <w:b/>
        </w:rPr>
        <w:t xml:space="preserve">Quelle: </w:t>
      </w:r>
      <w:r>
        <w:t>https://mcp.opencaselaw.ch/entscheid/ge_gerichte_JTAPI_1195_2024</w:t>
      </w:r>
    </w:p>
    <w:p>
      <w:r>
        <w:t>FR: GE_GERICHTE JTAPI/1195/2024 du 6 décembre 2024</w:t>
      </w:r>
    </w:p>
    <w:p>
      <w:r>
        <w:t>IT: GE_GERICHTE JTAPI/1195/2024 del 6 dicembre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96 heures prévu par les art. 80 al. 2 LEI et 9 al. 3 LaLEtr, la détention administrative de M. A______ ayant concrètement débuté le 4 décembre 2024 à 17h50, comme l’indique le procès-verbal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w:t>
      </w:r>
    </w:p>
    <w:p>
      <w:r>
        <w:t>- 4/7 - A/4032/2024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du 7 décembre 2024 a été réservée en faveur de M. A______. Par ailleurs, ce dernier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ch. 1 LEI, en lien avec l'art. 75 al. 1 let. c LEI, une mesure de détention administrative peut être ordonnée si une décision de renvoi ou d'expulsion a été notifiée à l'intéressé et que celui-ci a franchi la frontière malgré une interdiction d'entrer en Suisse et ne peut pas être renvoyé immédiatement.</w:t>
      </w:r>
    </w:p>
    <w:p>
      <w:r>
        <w:rPr>
          <w:b/>
        </w:rPr>
        <w:t>E. 9</w:t>
      </w:r>
    </w:p>
    <w:p>
      <w:r>
        <w:t>En l'espèce, M. A______ fait l'objet d'une décision de renvoi de Suisse prononcée le 4 décembre 2024 ainsi que d’une IES valable jusqu’au 8 décembre 2026, laquelle lui a été valablement notifiée le 6 décembre 2023 et qu’il n’a pas respectée. La détention administrative est ainsi fondée dans son principe sans qu’il soit nécessaire d’examiner si elle pourrait également l’être sous l’angle de l’art. 76 al. 1 let. b ch. 3 et 4 LEI.</w:t>
      </w:r>
    </w:p>
    <w:p>
      <w:r>
        <w:t>- 5/7 - A/4032/2024</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w:t>
      </w:r>
    </w:p>
    <w:p>
      <w:r>
        <w:rPr>
          <w:b/>
        </w:rPr>
        <w:t>E. 12</w:t>
      </w:r>
    </w:p>
    <w:p>
      <w:r>
        <w:t>En l'espèce, compte tenu du fait que M. A______ n’a pas respecté l’IES qui lui a valablement été notifiée et que renvoyé dans son pays il est chaque fois revenu en Suisse, on ne voit pas pour quelles raisons, s’il était remis en liberté, il respecterait davantage cette interdiction et changerait de comportement, de sorte que sa détention administrative paraît être le seul moyen d’assurer son renvoi vers la Roumanie. Les autorités suisses ont par ailleurs agi avec toute la diligence possible dès lors qu'elles ont immédiatement procédé à la réservation d'une place sur un vol de ligne pour permettre le renvoi de l’intéressé dans son pays d'origine, lequel pourra avoir lieu le 7 décembre 2024 déjà.</w:t>
      </w:r>
    </w:p>
    <w:p>
      <w:r>
        <w:rPr>
          <w:b/>
        </w:rPr>
        <w:t>E. 13</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14</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15</w:t>
      </w:r>
    </w:p>
    <w:p>
      <w:r>
        <w:t>En l’espèce, eu égard à l'ensemble des circonstances, il y a lieu de confirmer l'ordre de mise en détention administrative pour une durée de trois semaines, qui respecte l'art. 79 LEI et n'apparaît pas disproportionnée, étant rappelé que la détention</w:t>
      </w:r>
    </w:p>
    <w:p>
      <w:r>
        <w:t>- 6/7 - A/4032/2024 prendra fin au moment du renvoi mais que si, pour une raison ou une autre, ce renvoi devait ne pas pouvoir se concrétiser rapidement, cette durée permettra aux autorités, cas échéant, de solliciter la prolongation de la détention.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12 décembre 2024 au plus tard, si l'exécution du renvoi s'est concrétisée ou non.</w:t>
      </w:r>
    </w:p>
    <w:p>
      <w:r>
        <w:rPr>
          <w:b/>
        </w:rPr>
        <w:t>E. 16</w:t>
      </w:r>
    </w:p>
    <w:p>
      <w:r>
        <w:t>Il n’y a enfin pas lieu d’entrer en matière sur la conclusion de M. A______ tendant à ce qu’il soit ordonné à l’OCPM de lui octroyer la somme de CHF 5'000.- afin qu’il puisse retrouver un niveau de vie acceptable en Roumanie, une telle conclusion étant exorbitante à l’objet de la présente procédure.</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A/4032/2024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