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JTAPI/1190/2021 vom 25. November 2021</w:t>
      </w:r>
    </w:p>
    <w:p>
      <w:r>
        <w:t>GE Cour de justice, 2021-11-25, FR</w:t>
      </w:r>
    </w:p>
    <w:p>
      <w:r>
        <w:rPr>
          <w:b/>
        </w:rPr>
        <w:t xml:space="preserve">Quelle: </w:t>
      </w:r>
      <w:r>
        <w:t>https://mcp.opencaselaw.ch/entscheid/ge_gerichte_JTAPI_1190_2021</w:t>
      </w:r>
    </w:p>
    <w:p>
      <w:r>
        <w:t>FR: GE_GERICHTE JTAPI/1190/2021 du 25 novembre 2021</w:t>
      </w:r>
    </w:p>
    <w:p>
      <w:r>
        <w:t>IT: GE_GERICHTE JTAPI/1190/2021 del 25 novembre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w:t>
      </w:r>
    </w:p>
    <w:p>
      <w:r>
        <w:t>- 4/9 - A/3224/2020 2. Interjeté en temps utile et dans les formes prescrites devant la juridiction compétente, le recours est recevable au sens des art. 62 à 65 de la loi sur la procédure administrative du 12 septembre 1985 (LPA - E 5 10). 3. À teneur de l'art. 27 al. 1 LCR, chacun se conformera aux signaux et marques ainsi qu'aux ordres de la police ; le feu rouge signifie "arrêt" (art. 68 de l'ordonnance sur la signalisation routière du 5 septembre 1979 - OSR - RS 741.21).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 4. 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w:t>
      </w:r>
    </w:p>
    <w:p>
      <w:r>
        <w:rPr>
          <w:b/>
        </w:rPr>
        <w:t>E. 6</w:t>
      </w:r>
    </w:p>
    <w:p>
      <w:r>
        <w:t>En l’espèce, le tribunal constate que le recourant a été reconnu coupable de violation simple des règles de la circulation routière (art. 90 al. 1 LCR) et d'infraction à l'art. 99 ch. 1 let. b LCR par ordonnance pénale du Ministère public prononcée le 2 septembre 2021, entrée en force.</w:t>
      </w:r>
    </w:p>
    <w:p>
      <w:r>
        <w:t>- 5/9 - A/3224/2020</w:t>
      </w:r>
    </w:p>
    <w:p>
      <w:r>
        <w:rPr>
          <w:b/>
        </w:rPr>
        <w:t>E. 7</w:t>
      </w:r>
    </w:p>
    <w:p>
      <w:r>
        <w:t>L'infraction reprochée au recourant par l'OCV, à savoir l'inobservation de la signalisation lumineuse à la phase rouge, n'étant pas contestée, il reste à en examiner la gravité. Le recourant soutient que seule une infraction légère peut lui être reprochée dès lors que la sanction pénale repose sur l'art. 90 al. 1 LCR et que seul un avertissement est susceptible d'être prononcé à son encontre.</w:t>
      </w:r>
    </w:p>
    <w:p>
      <w:r>
        <w:rPr>
          <w:b/>
        </w:rPr>
        <w:t>E. 8</w:t>
      </w:r>
    </w:p>
    <w:p>
      <w:r>
        <w:t>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rPr>
          <w:b/>
        </w:rPr>
        <w:t>E. 9</w:t>
      </w:r>
    </w:p>
    <w:p>
      <w:r>
        <w:t>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w:t>
      </w:r>
    </w:p>
    <w:p>
      <w:r>
        <w:rPr>
          <w:b/>
        </w:rPr>
        <w:t>E. 10</w:t>
      </w:r>
    </w:p>
    <w:p>
      <w:r>
        <w:t>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w:t>
      </w:r>
    </w:p>
    <w:p>
      <w:r>
        <w:rPr>
          <w:b/>
        </w:rPr>
        <w:t>E. 11</w:t>
      </w:r>
    </w:p>
    <w:p>
      <w:r>
        <w:t>La réalisation d'un cas grave suppose également une faute grave. Celle-ci n'est pas seulement donnée lorsque le conducteur est conscient du caractère dangereux d'un comportement contraire aux règles de la circulation du même genre que le sien ;</w:t>
      </w:r>
    </w:p>
    <w:p>
      <w:r>
        <w:t>- 6/9 - A/3224/2020 elle peut aussi l'être en cas de négligence inconsciente, lorsque le conducteur ne se rend fautivement pas compte du danger qu'il crée (ATF 126 II 206 consid. 1a ; 123 II 37 consid. 1b ; arrêt du Tribunal fédéral 6A.1/2005 précité consid. 2).</w:t>
      </w:r>
    </w:p>
    <w:p>
      <w:r>
        <w:rPr>
          <w:b/>
        </w:rPr>
        <w:t>E. 12</w:t>
      </w:r>
    </w:p>
    <w:p>
      <w:r>
        <w:t>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w:t>
      </w:r>
    </w:p>
    <w:p>
      <w:r>
        <w:rPr>
          <w:b/>
        </w:rPr>
        <w:t>E. 13</w:t>
      </w:r>
    </w:p>
    <w:p>
      <w:r>
        <w:t>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 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w:t>
      </w:r>
    </w:p>
    <w:p>
      <w:r>
        <w:rPr>
          <w:b/>
        </w:rPr>
        <w:t>E. 14</w:t>
      </w:r>
    </w:p>
    <w:p>
      <w:r>
        <w:t>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w:t>
      </w:r>
    </w:p>
    <w:p>
      <w:r>
        <w:rPr>
          <w:b/>
        </w:rPr>
        <w:t>E. 15</w:t>
      </w:r>
    </w:p>
    <w:p>
      <w:r>
        <w:t>Se fondant sur cette jurisprudence, le tribunal de céans a retenu qu’un automobiliste avait commis une infraction grave en étant inattentif et en n’ayant de ce fait pas observé la signalisation lumineuse qui était à la phase rouge ; un heurt s’était produit et une passagère avait été légèrement blessée (JTAPI/1285/2015 du 3 novembre 2015). Il en a fait de même s'agissant d'une automobiliste qui ne s’était pas conformée à la signalisation lumineuse, à la phase rouge, et dont l'avant droit du véhicule avait, de ce fait, heurté l’avant droit d'un bus TPG, lequel circulait au bénéfice de la phase verte, étant précisé que dans le cadre de la procédure pénale, seule une violation simple des règles de la circulation routière avait été retenue à son encontre (JTAPI/554/2016 du 1er juin 2016).</w:t>
      </w:r>
    </w:p>
    <w:p>
      <w:r>
        <w:rPr>
          <w:b/>
        </w:rPr>
        <w:t>E. 16</w:t>
      </w:r>
    </w:p>
    <w:p>
      <w:r>
        <w:t>En l'occurrence, le recourant ne conteste pas, à juste titre, avoir violé une prescription cardinale de la circulation routière à savoir le respect de la signalisation lumineuse. Or, par son comportement, il a mis sérieusement en danger la sécurité d'autrui au sens de l'art. 16c al. 1 let. a LCR, comme en témoigne la collision survenue, à savoir le heurt de son bus avec un cycle et celui de son rétroviseur avec la tête du cyclomotoriste, blessant légèrement ce dernier, et occasionnant des dégâts matériels ; il est à cet égard incontestable que le fait de heurter un piéton ou un cyclomotoriste léger avec un autobus représente un risque élevé de blessures pour les personnes impliquées.</w:t>
      </w:r>
    </w:p>
    <w:p>
      <w:r>
        <w:rPr>
          <w:b/>
        </w:rPr>
        <w:t>E. 17</w:t>
      </w:r>
    </w:p>
    <w:p>
      <w:r>
        <w:t>Sur le plan pénal, il a été reconnu coupable de violation simple des règles de la circulation routière.</w:t>
      </w:r>
    </w:p>
    <w:p>
      <w:r>
        <w:t>- 8/9 - A/3224/2020 Si certes il parait important, comme rappelé ci-avant, que le juge administratif se rattache à l’appréciation du juge pénal afin d’éviter de prononcer des décisions contradictoires, il n’en demeure pas moins que celui-ci n’est pas lié par l’appréciation de la faute faite par le juge pénal et qu’il peut donc procéder à une autre appréciation de la faute. Les circonstances invoquées par le recourant, à savoir le fait que son attention a été attirée par une camionnette circulant sur sa gauche ne le dispensait pas d'accorder une attention accrue à l'approche de la signalisation lumineuse qu'il avait préalablement observée alors qu'elle était encore à la phase verte pour lui et ne permet pas au tribunal de considérer que l'OCV a excédé son pouvoir d'appréciation en qualifiant la faute du recourant de grave et en faisant application de l’art. 16c al. 1 let. a LCR.</w:t>
      </w:r>
    </w:p>
    <w:p>
      <w:r>
        <w:rPr>
          <w:b/>
        </w:rPr>
        <w:t>E. 18</w:t>
      </w:r>
    </w:p>
    <w:p>
      <w:r>
        <w:t>Le recourant fait également valoir qu'il justifie d'une bonne réputation n'ayant aucun antécédent et que la mesure ne tiendrait pas compte de ses besoins professionnels.</w:t>
      </w:r>
    </w:p>
    <w:p>
      <w:r>
        <w:rPr>
          <w:b/>
        </w:rPr>
        <w:t>E. 19</w:t>
      </w:r>
    </w:p>
    <w:p>
      <w:r>
        <w:t>Après une infraction grave, le permis de conduire est retiré pour une durée minimale de trois mois (art. 16c al. 2 let. a LCR).</w:t>
      </w:r>
    </w:p>
    <w:p>
      <w:r>
        <w:rPr>
          <w:b/>
        </w:rPr>
        <w:t>E. 20</w:t>
      </w:r>
    </w:p>
    <w:p>
      <w:r>
        <w:t>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w:t>
      </w:r>
    </w:p>
    <w:p>
      <w:r>
        <w:rPr>
          <w:b/>
        </w:rPr>
        <w:t>E. 21</w:t>
      </w:r>
    </w:p>
    <w:p>
      <w:r>
        <w:t>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w:t>
      </w:r>
    </w:p>
    <w:p>
      <w:r>
        <w:rPr>
          <w:b/>
        </w:rPr>
        <w:t>E. 22</w:t>
      </w:r>
    </w:p>
    <w:p>
      <w:r>
        <w:t>Au vu de ce qui précède, le recours sera rejeté et la décision de l'OCV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600.- ; il est partiellement couvert par l’avance de frais versée à la suite du dépôt du recours. Vu l’issue du litige, aucune indemnité de procédure ne sera allouée (art. 87 al. 2 LPA).</w:t>
      </w:r>
    </w:p>
    <w:p>
      <w:r>
        <w:t>- 9/9 - A/3224/2020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