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JTAPI/118/2025 vom 26. Januar 2025</w:t>
      </w:r>
    </w:p>
    <w:p>
      <w:r>
        <w:t>GE Cour de justice, 2025-01-26, FR</w:t>
      </w:r>
    </w:p>
    <w:p>
      <w:r>
        <w:rPr>
          <w:b/>
        </w:rPr>
        <w:t xml:space="preserve">Quelle: </w:t>
      </w:r>
      <w:r>
        <w:t>https://mcp.opencaselaw.ch/entscheid/ge_gerichte_JTAPI_118_2025</w:t>
      </w:r>
    </w:p>
    <w:p>
      <w:r>
        <w:t>FR: GE_GERICHTE JTAPI/118/2025 du 26 janvier 2025</w:t>
      </w:r>
    </w:p>
    <w:p>
      <w:r>
        <w:t>IT: GE_GERICHTE JTAPI/118/2025 del 26 gennaio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Il connait également des demandes de prolongation des mesures d'éloignement prononcées par le commissaire de police (art. 11 al. 2 LVD - F 1 30), sur lesquelles il est tenu de statuer avant l'échéance de la mesure, avec un pouvoir d'examen s'étendant à l'opportunité (art. 11 al. 3 LVD).</w:t>
      </w:r>
    </w:p>
    <w:p>
      <w:r>
        <w:rPr>
          <w:b/>
        </w:rPr>
        <w:t>E. 3</w:t>
      </w:r>
    </w:p>
    <w:p>
      <w:r>
        <w:t>En l'espèce, Mme A______ a formé opposition à la mesure d'éloignement le 29 janvier 2025, alors que M. B______ a requis la prolongation de la mesure d'éloignement le 31 janvier 2025. Déposées en temps utile et dans les formes prescrites devant la juridiction compétente, l'opposition et la demande de prolongation sont recevables au sens de l'art. 11 al. 1 et 2 LVD. Elles seront toutes le deux traitées dans le présent jugement, après jonction des procédures A/304/2025 et A/333/2025 y relatives, en application de l'art. 70 al. 1 de la loi sur la procédure administrative du 12 septembre 1985 (LPA - E 5 10).</w:t>
      </w:r>
    </w:p>
    <w:p>
      <w:r>
        <w:rPr>
          <w:b/>
        </w:rPr>
        <w:t>E. 4</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5</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- 14/17 - A/304/2025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6</w:t>
      </w:r>
    </w:p>
    <w:p>
      <w:r>
        <w:t>En l'espèce, même si les déclarations des parties sont contradictoires sur certains aspects, il ressort clairement du dossier qu'il existe suffisamment d'éléments pour retenir la survenance de violences domestiques au sein de la famille. On notera que les déclarations des parties et de la mineure, C______, sont concordantes sur la survenance d'un conflit le 26 janvier 2025 au cours duquel l'éloignée a notamment aspergé sa fille de jus de citron au niveau du visage – bien qu'elle ait déclaré que c'était son mari qui était visé − et a arraché le téléphone des mains de sa fille, ce qui au demeurant s'est déjà produit, cette fois, dans le but que cette dernière ne puisse pas appeler la police, ce que C______ est néanmoins parvenue à faire. A cela s'ajoute qu'il est établi que ce conflit n'est pas le premier et que la police est intervenue au domicile familial à quatre reprises entre le 29 avril 2023 et le 26 janvier 2025, en particulier le 11 mai 2024 en raison d'une menace de défenestration de Mme A______ suite à un conflit conjugal, ce qui est démontré par pièce. Mme A______, dont l'état dépressif récurrent est également établi, présente en outre une dépendance à l'alcool, ce qui n'est pas contesté. Elle consommait régulièrement, voire quotidiennement, de l'alcool, avec son époux, alors qu'elle suit un traitement médicamenteux lourd en raison de sa dépression sévère notamment, décuplant ainsi les effets de l’alcool, ce qui est établi, d'une part,</w:t>
      </w:r>
    </w:p>
    <w:p>
      <w:r>
        <w:t>- 15/17 - A/304/2025 par le résultat de l'éthylotest pratiqué sur sa personne, lequel a révélé un taux d'alcoolémie important et, d'autre part, par son état d'agressivité et d'agitation important relevé à plusieurs reprises par les policiers dans leur rapport. La mineure C______ a déposé plainte pénale contre sa mère en raison des faits qui précèdent. Elle a été entendue en EVIG et bien que ses déclarations n'aient pas été intégralement retranscrites, il en ressort que sa mère a commencé à boire quotidiennement depuis qu'elle ne travaille plus et que l'intensité des conflits a augmenté depuis un an et demi. Sa mère crie sur son père et l'insulte. Il est arrivé au cours de disputes que sa mère la gifle. Elle l'aurait en outre mordue en janvier 2025 pour se saisir de son téléphone. Le 26 janvier 2025, elle lui aurait tiré les cheveux pour la première fois. De l'avis du tribunal, les déclarations de la mineure, mesurées, apparaissent crédibles et confirment, comme l'ont d'ailleurs admis les parties, que les conflits sont récurrents et que leur intensité a augmenté, ce qui est encore démontré par les deux interventions de police au cours du seul mois de janvier 2025. Il ressort en outre des déclarations concordantes des parties que Mme A______ n'a pas respecté la mesure d'éloignement puisqu'elle a adressé divers messages à son époux, ainsi qu'à leur fille. Dans ces circonstances, vu en particulier le caractère récent des événements, de la situation visiblement conflictuelle et complexe dans laquelle la famille se trouve,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Mme A______. Prise pour une durée de onze jours, elle n'apparaît pas disproportionnée. L'opposition à la mesure sera donc rejetée.</w:t>
      </w:r>
    </w:p>
    <w:p>
      <w:r>
        <w:rPr>
          <w:b/>
        </w:rPr>
        <w:t>E. 7</w:t>
      </w:r>
    </w:p>
    <w:p>
      <w:r>
        <w:t>Concernant la demande de prolongation, M. B______ a répété lors de l'audience qu'il craignait de nouvelles violences de la part de son épouse si elle revenait au domicile conjugal. Il avait peur pour sa fille et pour lui. Il a par ailleurs confirmé qu'il ne voulait pas reprendre la vie commune et qu'il déposerait prochainement une demande de mesures protectrices de l'union conjugale. Il souhaitait que sa femme se fasse soigner, y compris contre son gré. Il sera rappelé que la mesure d'éloignement a pour objectif d'empêcher la réitération d'actes de violence, mais non de permettre aux personnes concernées de s'organiser pour modifier le cadre et les modalités de leurs relations personnelles. Cela étant, le tribunal a acquis la conviction que le risque de réitération de violences apparaît élevé au vu des pièces médicales produites et des déclarations concordantes</w:t>
      </w:r>
    </w:p>
    <w:p>
      <w:r>
        <w:t>- 16/17 - A/304/2025 des parties sur l'état dépressif récurrent de Mme A______ et sa dépendance à l'alcool. Il apparait en particulier que Mme A______ ne semble pas avoir pris la mesure de la situation, vu ses dénégations concernant les faits dénoncés par sa fille, les accusations portées contre son époux en audience, son déni face à sa dépendance à l'alcool et à ses crises dont force est de constater qu'elle se sont intensifiées depuis un an à tout le moins. Elle n'a au demeurant pris aucun engagement à l'audience de cesser sa consommation d'alcool. Son souhait de pouvoir retourner en clinique quelques semaines ne saurait suffire à contenir le risque élevé de réitération. Cette éventualité apparaît ainsi suffisamment réelle et concrète pour justifier que Mme A______ demeure éloignée pendant un temps encore, ce qui tend à admettre le bien-fondé de la demande de prolongation formée pas son époux. Au vu des éléments qui précèdent, la durée de trente jours n'apparaît pas disproportionnée. Si cette prolongation, qui apparaît utile, nécessaire et opportune, comporte à l'évidence des désagréments pour Mme A______, l'atteinte à sa liberté personnelle en résultant demeure acceptable, étant observé qu'aucune autre mesure moins incisive ne serait envisageable pour atteindre le but fixé par la LVD (cf. ATA/619/2020 du 23 juin 2020 consid. 9 ; ATA/527/2020 du 26 mai 2020 consid. 10). Cette prolongation le sera sous la menace de l'art. 292 CP, dont la teneur figure ci-dessus. Elle prendra donc fin le 8 mars 2025 à 11h00.</w:t>
      </w:r>
    </w:p>
    <w:p>
      <w:r>
        <w:rPr>
          <w:b/>
        </w:rPr>
        <w:t>E. 8</w:t>
      </w:r>
    </w:p>
    <w:p>
      <w:r>
        <w:t>Il ne sera pas perçu d'émolument ni alloué d'indemnité (art. 87 al. 1 LPA).</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- 17/17 - A/304/2025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