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JTAPI/118/2022 vom 10. Februar 2022</w:t>
      </w:r>
    </w:p>
    <w:p>
      <w:r>
        <w:t>GE Cour de justice, 2022-02-10, FR</w:t>
      </w:r>
    </w:p>
    <w:p>
      <w:r>
        <w:rPr>
          <w:b/>
        </w:rPr>
        <w:t xml:space="preserve">Quelle: </w:t>
      </w:r>
      <w:r>
        <w:t>https://mcp.opencaselaw.ch/entscheid/ge_gerichte_JTAPI_118_2022</w:t>
      </w:r>
    </w:p>
    <w:p>
      <w:r>
        <w:t>FR: GE_GERICHTE JTAPI/118/2022 du 10 février 2022</w:t>
      </w:r>
    </w:p>
    <w:p>
      <w:r>
        <w:t>IT: GE_GERICHTE JTAPI/118/2022 del 10 febbraio 2022</w:t>
      </w:r>
    </w:p>
    <w:p>
      <w:pPr>
        <w:pStyle w:val="Heading2"/>
      </w:pPr>
      <w:r>
        <w:t>Erwägungen</w:t>
      </w:r>
    </w:p>
    <w:p>
      <w:r>
        <w:rPr>
          <w:b/>
        </w:rPr>
        <w:t>E. 17</w:t>
      </w:r>
    </w:p>
    <w:p>
      <w:r>
        <w:t>Le 12 août 2021, les intimées ont conclu principalement à l'irrecevabilité du recours formé par les recourants et, subsidiairement, notamment à ce que soit écartée de la procédure le rapport d'AQUAGEO du 19 mai 2021 que ces derniers ont produit sous pièce 19. Ce rapport, soit une « prise de position », ne constituait pas même une expertise privée et n'avait aucune valeur probante. Ce document émanait d'AQUAGEO, soit l'auteur de l'expertise qui avait été fermement contestée dans le cadre de la procédure civile et qui avait donné lieu à une contre-expertise par GADZ SA, ainsi qu'à la nomination d'un nouveau expert par le Tribunal civil. Pour ces motifs déjà, cette pièce devait être écartée. Par ailleurs, le seul débat qui devait occuper le Tribunal de céans était le fait d'examiner si la décision d'autorisation querellée respectait les exigences de la LCI. La prise de position d'AQUAGEO ne saurait mettre en échec les constatations faites par l'ensemble des autorités compétentes et était en tout état erronée, notamment son affirmation selon laquelle GADZ SA aurait procédé à une analyse uniquement locale, et contrairement à ses dires, la fonction première des</w:t>
      </w:r>
    </w:p>
    <w:p>
      <w:r>
        <w:t>- 8/15 - A/320/2021 palplanches était de bloquer les écoulements en direction de l'excavation, de manière à, précisément, ne pas assécher le terrain et ne pas en modifier sa nature. La parcelle des recourants était à l'opposé, soit en contrebas de l'autre côté de la parcelle visée par l'autorisation de construire. Compte tenu de leur position géographique éloignée, de l'absence d'intérêt personnel digne de protection, les recourants n'avaient pas la qualité de partie. Les actes d'instruction sollicités devraient être écartés en tant qu'ils avaient un but purement dilatoire et étaient contradictoires. En effet, soit le rapport d'AQUAGEO produit par les recourants était suffisant en soi, soit le recours était sans fondement puisqu'il ne visait aucunement l'autorisation attaquée mais des autorisations étrangères au cas d'espèce, véritable centre de l'attention des recourants. Enfin, les recourants se prévalaient des principes découlant de la LEaux-GE alors même que les services idoines en charge de l'application de ces dispositions s'étaient expressément prononcés et ont favorablement préavisé l'autorisation querellée.</w:t>
      </w:r>
    </w:p>
    <w:p>
      <w:r>
        <w:rPr>
          <w:b/>
        </w:rPr>
        <w:t>E. 18</w:t>
      </w:r>
    </w:p>
    <w:p>
      <w:r>
        <w:t>Par arrêt du 21 septembre 2021 (ATA/975/2021), la chambre administrative de la Cour de justice (ci-après : la chambre administrative) a déclaré irrecevable le recours formé par les recourants contre la DITAI/358/2021 rendue par le tribunal de céans le</w:t>
      </w:r>
    </w:p>
    <w:p>
      <w:r>
        <w:rPr>
          <w:b/>
        </w:rPr>
        <w:t>E. 19</w:t>
      </w:r>
    </w:p>
    <w:p>
      <w:r>
        <w:t>Le 24 septembre 2021, les intimées ont produit le rapport d'expertise judiciaire établi dans le cadre de la procédure civile par BEG SA le 3 septembre 2021. Elles ont rappelé que cette procédure civile de preuve à futur n'était pas déterminante pour trancher de l'autorisation de construire querellée ici et qu'en tout état, cette expertise avait notamment relevé que les palplanches étaient la bonne solution pour renforcer</w:t>
      </w:r>
    </w:p>
    <w:p>
      <w:r>
        <w:t>- 9/15 - A/320/2021 les talus de fouille et que le sens d'écoulement des eaux ZIPLO s'orientait en direction de l'Est. Le projet de construction se situait derrière le bâtiment B10, donc en amont de l'écoulement déjà bloqué par ce même bâtiment. De plus, le projet ne dépassant pas l'angle du bâtiment existant, il n'empiéterait pas dans le couloir décrit par l'expert. Les conclusions de l'expert, documentées par une coupe géologique, attestaient sans équivoque du non-fondement de l'argument des recourants selon lequel la construction projetée présentait un risque de mouvement de terrain et d'écoulement des eaux, puisque précisément le bâtiment en place bloquait 100% de l'écoulement des eaux et les palplanches étaient plus profondes que les sous-sols de la construction envisagée.</w:t>
      </w:r>
    </w:p>
    <w:p>
      <w:r>
        <w:rPr>
          <w:b/>
        </w:rPr>
        <w:t>E. 20</w:t>
      </w:r>
    </w:p>
    <w:p>
      <w:r>
        <w:t>Le 7 octobre 2021, les recourants ont produit une prise de position d'AQUAGEO datée du 28 septembre 2021 et ont relevé qu'en définitive, en regard des travaux passés et ceux projetés, la réalisation de la nouvelle extension de l'école « présente un risque grave de dégradation de la propriété de M. Alessandri incluant notamment des effondrements, des fissurations et des tassements différentiels ». Il était ainsi démontré que les premiers travaux avaient déjà provoqué de nombreux dégâts et désordres sur la parcelle des recourants, lesquels ne faisaient que croitre avec le temps et les travaux projetés ne feraient qu'aggraver ces troubles. Cas échéant, le tribunal de céans devrait entendre comme témoins MM. Boris MATTI, auteur du rapport d'AQUAGEO, et Hugues ROSSET, voire ordonner une expertise judiciaire. Les recourants avaient par ailleurs requis l'audition de l'expert par-devant le Tribunal civil et ne manqueraient pas de produire le procès-verbal de son audition. EN DROIT 1. 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 2. Interjeté en temps utile et dans les formes prescrites devant la juridiction compétente, le recours est recevable au sens des art. 62 à 65 de la loi sur la procédure administrative du 12 septembre 1985 (LPA - E 5 10). 3. Au stade de leur duplique, les intimées concluent à l'irrecevabilité du recours, faisant valoir l'absence de qualité pour recourir des recourants. 4. Nonobstant le fait que les nouvelles conclusions prises au stade de la réplique - et donc à fortiori au stade de la duplique - sont tardives et, partant, irrecevables (ATA/794/2019 du 16 avril 2019 consid. 2b ; ATA/1235/2018 du 20 novembre 2018 consid. 3b), et que les intimées auraient dû conclure à l'irrecevabilité du recours dans leurs premières écritures déjà, force est de toute manière de retenir que les recourants sont des voisins immédiats des parcelles visées par l'autorisation de construire</w:t>
      </w:r>
    </w:p>
    <w:p>
      <w:r>
        <w:t>- 10/15 - A/320/2021 querellée et qu'ils font valoir des griefs liés au droit de la construction (cf. ATF 133 II 249 consid. 1.3.1 ; 139 II 499 consid. 2.2 ; arrêts du Tribunal fédéral 1C_206/2019 du 6 août 2019 consid. 3.1 ; 1C_382/2017 du 16 mai 2018 consid. 1.2.1). La qualité pour recourir des recourants doit ainsi leur être reconnue au sens de l'art. 60 let. b LPA. 5. Les recourants sollicitent à titre préalable un transport sur place, pour que le tribunal puisse saisir la configuration des lieux et constater notamment l'importance du risque de retrait-gonflement des argiles pour leur parcelle, ainsi que cas échéant à l’audition de l’auteur du rapport de la société AQUAGEO et de M. Hugues ROSSET, voire à la mise en œuvre d'une expertise judiciaire. Ils sollicitent également qu'un complément d’étude soit ordonné, tel que préconisé par l'expert AQUAGEO, incluant l’installation d’au minimum deux piézomètres additionnels à l’aval, une série de mesures piézométriques à basses et hautes eaux, et une simulation numérique tridimensionnelle afin de comprendre le comportement de la nappe phréatique. Un couplage hydromécanique montrant l’influence d’une modification de la saturation sur le comportement mécanique des argiles devait en outre être réalisé. Les intimées demandent pour leur part l'audition de l'auteur des rapports de GADZ SA. 6.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Ces principes s'appliquent notamment à la tenue d'une inspection locale, en l'absence d'une disposition cantonale qui imposerait une telle mesure d'instruction (ATF 120 Ib 224 consid. 2b ; arrêts du Tribunal fédéral 1C_243/2013 du 27 septembre 2013 consid. 3.2.1 ; 1C 61/2011 du 4 mai 2011 consid. 3.1 ; ATA/720/2012 du 30 octobre 2012), ce qui n'est pas le cas à Genève. Par ailleurs, le droit d'être entendu ne comprend pas le droit d'être entendu oralement (cf. not. art. 41 in fine LPA ; ATF 140 I 68 consid. 9.6.1 ; 134 I 140 consid. 5.3 ; arrêts du Tribunal fédéral 2C_668/2020 du 22 janvier 2021 consid. 3.3 ;</w:t>
      </w:r>
    </w:p>
    <w:p>
      <w:r>
        <w:t>- 11/15 - A/320/2021 2C_339/2020 du 5 janvier 2021 consid. 4.2.2), ni celui d'obtenir l'audition de témoins (ATF 130 II 425 consid. 2.1; arrêts du Tribunal fédéral 2C_725/2019 du 12 septembre 2019 consid. 4.1 ; 2C_1004/2018 du 11 juin 2019 consid. 5.2.1). 7. En l'espèce, le tribunal estime que le dossier contient les éléments suffisants et nécessaires à l'examen des griefs et arguments mis en avant par les parties, en particulier les plans et les photographies versés à la procédure, les outils disponibles sur Internet (tels que le SITG), les diverses études géotechniques produites au dossier, ainsi que cas échéant, l'expertise judiciaire établie dans le cadre de la procédure civile. Le transport sur place et l'expertise judiciaire sollicités auraient pour objet les mêmes éléments d'appréciation, de sorte que ces mesure d'instruction ne fourniraient pas d'informations pertinentes supplémentaires. Pour les mêmes motifs, il ne sera pas procédé aux autres actes d'instruction sollicités, en soit non obligatoires. S'agissant par ailleurs des piézomètres, comme le DT l'a relevé, le rapport géotechnique daté du 16 juillet 2020 indique clairement qu'un nouveau dispositif devra être mis en place dans le secteur Est, cet élément allant dans le sens de ce que demandent les recourants dans leur réplique. Au demeurant, l'audition de l'auteur des rapports d'AQUAGEO se révèle totalement inutile dans la mesure où ces expertises privées, établies sur mandat des recourants, sont soumises à la libre appréciation des preuves et leur résultat ne constitue qu'un simple allégué de partie, dont le juge doit tenir compte avec circonspection, l'expert privé ne pouvant être considéré comme indépendant et impartial, en raison notamment de sa relation contractuelle avec les recourants (cf. ATA/155/2021 du 9 février 2021 consid. 5d ; ATA/14/2020 du 7 janvier 2020 consid. 5e et l'arrêt cité). 8. L’art. 1 al. 1 LCI précise que sur tout le territoire du canton nul ne peut, sans y avoir été autorisé élever en tout ou partie une construction ou une installation (let. a). Par ailleurs, dès que les conditions légales sont réunies, le département est tenu de délivrer l’autorisation de construire (art. 1 al. 6 LCI). Selon une jurisprudence bien établie, chaque fois que l’autorité inférieure suit les préavis requis, la juridiction de recours doit s’imposer une certaine retenue, qui est fonction de son aptitude à trancher le litige.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(ATA/384/2021 du 30 mars 2021 consid. 8b et les références citées). 9. Selon l’art. 14 LCI, le département peut refuser une autorisation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offre des dangers particuliers (notamment incendie, émanations nocives ou</w:t>
      </w:r>
    </w:p>
    <w:p>
      <w:r>
        <w:t>- 12/15 - A/320/2021 explosions), si la surface de la parcelle sur laquelle elle est établie est insuffisante pour constituer une zone de protection (let. d) ou peut créer, par sa nature, sa situation ou le trafic que provoque sa destination ou son exploitation, un danger ou une gêne durable pour la circulation (let. e). 10.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(ATA/448/2021 du 27 avril 2021 consid. 8a ; ATA/259/2020 du 3 mars 2020 consid. 7a ; ATA/1273/2017 du 12 septembre 2017 consid. 16c).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(ATA/448/2021 du 27 avril 2021 consid. 8a ; ATA/285/2021 du 2 mars 2021 consid. 8b ; ATA/758/2016 du 6 septembre 2016). 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du tribunal s'exerce dans les limites précitées, sous réserve du respect du principe de proportionnalité en cas de refus malgré un préavis favorable et de l'intérêt public en cas d'octroi d'une autorisation (cf. not. ATA/811/2021 du 10 août 2021 consid. 6 ; ATA/448/2021 du 27 avril 2021 consid. 8a ; ATA/165/2018 du 20 février 2018 consid. 4b). Enfin, l’art. 14 LCI vise les nuisances issues ou induites par la construction ou l’installation projetée elle-même et non celles provoquées par les modalités de sa réalisation. Ainsi, le Tribunal fédéral a jugé qu’il n'était pas arbitraire de considérer que les inconvénients causés par un chantier de construction ne constituaient pas des inconvénients graves au sens de cette disposition, même si, suivant les circonstances, ils pouvaient être plus ou moins sensibles pour les voisins (arrêt 1P.530/2002 du 3 février 2002 confirmant l’ATA/447/2002 du 27 août 2002 ; cf. aussi ATA/1220/2020 du 1er décembre 2020 consid. 7a et les arrêts cités ; ATA/399/2020 du 23 avril 2020 consid. 7d ; ATA/505/2014 du 1er juillet 2014 consid. 6a). 11. Les recourants invoquent également l'art. 30 al. 1 LEaux-GE selon lequel l’octroi d’une autorisation peut être refusé, ajourné ou soumis à des garanties ou à des conditions, notamment lorsqu’elle est de nature à porter atteinte : a) aux objectifs généraux de la législation en vigueur ou aux objectifs prévus dans les schémas ou d) à la stabilité des terrains. Les ouvrages et installations doivent être exécutés conformément aux conditions de l’autorisation ou de la concession (art. 31 al. 1 LEaux-GE).</w:t>
      </w:r>
    </w:p>
    <w:p>
      <w:r>
        <w:t>- 13/15 - A/320/2021 12. Rattaché à l'office cantonal de l'environnement, le GESDEC, qui a pour missions d'assainir les sites contaminés d'ici à deux générations, de protéger, gérer et exploiter durablement les sols, le sous-sol et les eaux souterraines et de gérer les déchets en respectant l'environnement (cf. https://www.ge.ch/organisation/ocev-service- geologie-sols-dechets), est le service spécialisé de la protection de l'environnement (art. 2 al. 1 du règlement sur la protection des sols du 16 janvier 2008 - RSol - K 1 70.13). 13. En l'espèce, le GESDEC, instance spécialisée dans le domaine concerné, a examiné avec soin le projet querellé en déterminant la nature du terrain et les eaux souterraines et en se fondant sur l'expertise de GADZ SA qui, contrairement à l'affirmation des recourants, ne considère pas uniquement le chantier lui-même mais également son impact sur le voisinage et l'extérieur. Au terme de son analyse, le GESDEC a émis un préavis favorable - sans avoir besoin de quelconques compléments -, qu'il a subordonné à diverses conditions géologiques et hydrologiques locales afin de s'assurer de la prise et du respect de toutes les mesures de précaution pour la requérante et le voisinage. En particulier, il a estimé nécessaire de mettre en place un suivi hydrogéologique avant, pendant et après le chantier pour vérifier le bon écoulement de la nappe d'eau souterraine. Il a aussi formulé des exigences pour éviter tout effet de barrage sur la nappe d'eau souterraine et refusé le rabattement en contigu de la nappe d'eau souterraine par évacuation dans les EC, que ce soit pendant la phase de chantier ou d'exploitation, étant rappelé que les conditions figurant dans le préavis du GESDEC, reprises dans la décision querellée, devront être strictement respectées. Les recourants indiquent dans leurs dernières écritures qu' « en définitive, en regard des travaux passés et ceux projetés, la réalisation de la nouvelle extension de l'école présente un risque grave de dégradation de la propriété de M. Alessandri incluant notamment des effondrements, des fissurations et des tassements différentiels. » Pour ce faire, ils se réfèrent à la dernière conclusion de la prise de position d'AQUAGEO du 28 septembre 2021 qui, comme on l'a vu, ne constitue qu'un simple allégué de partie, dont le juge doit tenir compte avec circonspection. Pour le surplus, les allégations des recourants à l'égard d'un prétendu risque quant au retrait des argiles sont contredites non seulement par les études de GADZ SA mais également par l'expertise judiciaire établie dans le cadre de la procédure civile. En outre, et surtout, le GESDEC n'a pas formulé de remarques particulières à ce sujet. Dans ces conditions, le tribunal, qui doit faire preuve de retenue et respecter la latitude de jugement conférée à l'autorité de décision, s'agissant d'un domaine faisant appel à des connaissances techniques, ne saurait en corriger le résultat, en l'occurrence défendable, en fonction d'une autre conception, sauf à statuer en opportunité, ce que la loi lui interdit de faire (art. 61 al. 2 LPA). Eu égard au lien direct que ces questions entretiennent avec des aspects techniques, il convient ainsi</w:t>
      </w:r>
    </w:p>
    <w:p>
      <w:r>
        <w:t>- 14/15 - A/320/2021 de s'en remettre à l'avis de l'instance spécialisée, qui a préavisé favorablement le projet. On relèvera encore que le projet de construction litigieux se situe du côté de l'avenue des Communes-Réunies, soit à l'opposé et à distance de la villa des recourants. En tout état, la question d'éventuels dommages sur la propriété des recourants, découlant de la réalisation des constructions autorisées, relèvent de questions de droit privé pour lesquelles le tribunal de céans n'est pas compétent, lequel doit uniquement vérifier que les normes du droit des constructions sont respectées (art. 3 al. 6 LCI ; ATA/246/2016 du 15 mars 2016 consid. 10c ; ATA/638/2015 du 16 juin 2015 ; cf. aussi arrêt du Tribunal fédéral 1C_416/2012 du 6 décembre 2012 consid. 5 in fine). Les propriétaires sont responsables, dans l'application de la LCI et sous réserve des droits civils, de la sécurité et de la salubrité des constructions et installations (art. 122 LCI). Ainsi, dans le système instauré par la LCI, la vérification relative à la stabilité et à la solidité des constructions n'est pas opérée par le département. Elle relève de la responsabilité des mandataires et des propriétaires. Ces questions échappent également à la compétence de la juridiction administrative, qui n'a pas pour vocation de régler les litiges afférents aux droits de propriété ou aux relations de voisinage qui peuvent survenir entre les parties (ATA/752/2014 précité consid. 7c ; ATA/448/2010 du 26 juin 2010 consid. 5). Il ressort de ce qui précède que les nuisances prétendues découlant du chantier ne constituent en tous les cas pas des inconvénients graves au sens de l'art. 14 LCI. 14. Les mêmes constats peuvent être opérés s'agissant des principes découlant de la LEaux-GE, étant précisé que l'ensemble des autorités compétentes (dont l'OCEau et l'OCAN) a préavisé favorablement le projet litigieux. L'autorisation délivrée contient des réserves et conditions quant à la mise en œuvre concrète du projet. Or, il n'apparaît pas qu'en suivant les préavis favorables des instances de préavis spécialisées, le DT se serait fondé sur des critères et considérations dénués de pertinence et étrangers au but visé par la réglementation en vigueur. Le grief reposant sur une violation de la LEaux-GE apparaît ainsi également infondé. 15. Compte tenu de ce qui précède, le recours, mal fondé, sera rejeté. 16. En application des art. 87 al. 1 LPA et 1 et 2 du règlement sur les frais, émoluments et indemnités en procédure administrative du 30 juillet 1986 (RFPA - E 5 10.03), les recourants, pris conjointement et solidairement, qui succombent sur le fond et sur demande incidente de suspension, sont condamnés au paiement d’un émolument s'élevant à CHF 1'500.- ; il est partiellement couvert par l’avance de frais de CHF 900.- versée à la suite du dépôt du recours, le solde dû s'élevant à CHF 600.-. Pour les mêmes raisons, une indemnité de procédure de CHF 1'500.-, à la charge des recourants, pris conjointement et solidairement, sera allouée aux intimées (art. 87 al. 2 à 4 LPA et 6 RFPA).</w:t>
      </w:r>
    </w:p>
    <w:p>
      <w:r>
        <w:t>- 15/15 - A/320/2021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