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JTAPI/1189/2024 vom 4. Dezember 2024</w:t>
      </w:r>
    </w:p>
    <w:p>
      <w:r>
        <w:t>GE Cour de justice, 2024-12-04, FR</w:t>
      </w:r>
    </w:p>
    <w:p>
      <w:r>
        <w:rPr>
          <w:b/>
        </w:rPr>
        <w:t xml:space="preserve">Quelle: </w:t>
      </w:r>
      <w:r>
        <w:t>https://mcp.opencaselaw.ch/entscheid/ge_gerichte_JTAPI_1189_2024</w:t>
      </w:r>
    </w:p>
    <w:p>
      <w:r>
        <w:t>FR: GE_GERICHTE JTAPI/1189/2024 du 4 décembre 2024</w:t>
      </w:r>
    </w:p>
    <w:p>
      <w:r>
        <w:t>IT: GE_GERICHTE JTAPI/1189/2024 del 4 dicembre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L’autorité intimée sollicite, cas échéant, l’audition du Dr. C______, responsable de l’UMPT.</w:t>
      </w:r>
    </w:p>
    <w:p>
      <w:r>
        <w:rPr>
          <w:b/>
        </w:rPr>
        <w:t>E.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 132 II 485 consid. 3.2). Il n'implique en général pas le droit de s'exprimer oralement (ATF 125 I 209 consid. 9b et l'arrêt cité ; cf. aussi art. 41 in fine LPA), ni celui d'obtenir l'audition de témoins (ATF 140 I 68 consid. 9.6.1 ; 134 I 140 consid. 5.3 ; arrêt du Tribunal fédéral 2C_455/2016 du 31 octobre 2016 consid. 3.1 ; cf. aussi art. 41 in fine LPA).</w:t>
      </w:r>
    </w:p>
    <w:p>
      <w:r>
        <w:rPr>
          <w:b/>
        </w:rPr>
        <w:t>E. 5</w:t>
      </w:r>
    </w:p>
    <w:p>
      <w:r>
        <w:t>Le droit de faire administrer des preuves suppose que le fait à prouver soit pertinent, que le moyen de preuve proposé soit nécessaire pour constater ce fait et que la demande soit présentée selon les formes et délais prescrits par le droit cantonal (ATF 134 I 140 consid. 5.3 ; arrêt du Tribunal fédéral 1C_61/2011 du 4 mai 2011 consid. 3.1). Il n'empêche toutefois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 ATA/1296/2015).</w:t>
      </w:r>
    </w:p>
    <w:p>
      <w:r>
        <w:rPr>
          <w:b/>
        </w:rPr>
        <w:t>E. 6</w:t>
      </w:r>
    </w:p>
    <w:p>
      <w:r>
        <w:t>En l’espèce, le dossier en possession du tribunal contient les éléments suffisants et nécessaires à l’examen des griefs pour trancher le litige, en particulier l'expertise de l’UMPT, de sorte que, comme cela sera développé ci-après, l’audition du</w:t>
      </w:r>
    </w:p>
    <w:p>
      <w:r>
        <w:t>- 10/14 - A/2146/2024 Dr. C______, au demeurant non sollicitée par le recourant, n'apparaît pas nécessaire. Aussi, l’acte d’instruction sollicité sera rejeté.</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9</w:t>
      </w:r>
    </w:p>
    <w:p>
      <w:r>
        <w:t>En l’espèce, le recourant conclut à l'annulation de la décision querellée au motif qu'elle se fonde sur le rapport d’expertise de l’UMPT qui ne serait pas fiable.</w:t>
      </w:r>
    </w:p>
    <w:p>
      <w:r>
        <w:rPr>
          <w:b/>
        </w:rPr>
        <w:t>E. 10</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11</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12</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t>- 11/14 - A/2146/2024</w:t>
      </w:r>
    </w:p>
    <w:p>
      <w:r>
        <w:rPr>
          <w:b/>
        </w:rPr>
        <w:t>E. 13</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w:t>
      </w:r>
    </w:p>
    <w:p>
      <w:r>
        <w:rPr>
          <w:b/>
        </w:rPr>
        <w:t>E. 14</w:t>
      </w:r>
    </w:p>
    <w:p>
      <w:r>
        <w:t>Selon l'al. 2 de cette disposition, le médecin qui procède à l'examen d'évaluation de l'aptitude à la conduite doit : a) avoir obtenu une reconnaissance de niveau 4 dans les cas visés à l'art. 15d al. 1 let. a et b LCR; b) avoir obtenu au minimum une reconnaissance de niveau 3 dans les cas visés à l'art. 15d al. 1 let. d et e LCR.</w:t>
      </w:r>
    </w:p>
    <w:p>
      <w:r>
        <w:rPr>
          <w:b/>
        </w:rPr>
        <w:t>E. 15</w:t>
      </w:r>
    </w:p>
    <w:p>
      <w:r>
        <w:t>Aux termes de l'art. 16d al. 1 let. b LCR, le permis d'élève conducteur ou le permis de conduire est retiré pour une durée indéterminée à la personne qui souffre d'une forme de dépendance la rendant inapte à la conduite.</w:t>
      </w:r>
    </w:p>
    <w:p>
      <w:r>
        <w:rPr>
          <w:b/>
        </w:rPr>
        <w:t>E. 16</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17</w:t>
      </w:r>
    </w:p>
    <w:p>
      <w:r>
        <w:t>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 3.1 ; arrêts du Tribunal fédéral 1C_557/2014du 9 décembre 2014 consid. 3 ; 1C_819 du 25 novembre 2013 consid. 2 ; 1C_593/2012 du 28 mars 2013 consid. 3.1 ;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w:t>
      </w:r>
    </w:p>
    <w:p>
      <w:r>
        <w:rPr>
          <w:b/>
        </w:rPr>
        <w:t>E. 18</w:t>
      </w:r>
    </w:p>
    <w:p>
      <w:r>
        <w:t>Si elle met en œuvre une expertise, l'autorité est liée par l'avis de l'expert et ne peut s'en écarter que si elle a de sérieux motifs de le faire (ATF 132 II 257 consid. 4.4.1 ; arrêt du Tribunal fédéral 1C_557/2014du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w:t>
      </w:r>
    </w:p>
    <w:p>
      <w:r>
        <w:t>- 12/14 - A/2146/2024 routière. Cette considération doit toutefois être nuancée lorsque l’autorité compétente, administrative ou judiciaire,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Cst.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 Aptitude à la conduite automobile, exigences médicales, procédure d'examen et secret médical », AJP/PJA 2008 p 596 ; cf. aussi ATF 133 II 384 consid. 4.2.3 ; 118 Ia 144 consid. 1c ; arrêt du Tribunal fédéral 1C_359/2008 du 23 février 2009 consid. 2.2). Concernant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w:t>
      </w:r>
    </w:p>
    <w:p>
      <w:r>
        <w:rPr>
          <w:b/>
        </w:rPr>
        <w:t>E. 19</w:t>
      </w:r>
    </w:p>
    <w:p>
      <w:r>
        <w:t>En l’espèce, vu les faits pour lesquels le recourant a été condamné le 4 mars 2024 par ordonnance pénale, l'autorité a, à bon droit, ordonné que ce dernier se soumette à un examen d'évaluation de l'aptitude à la conduite. Conformément à la jurisprudence rappelée ci-dessus, l'autorité est liée par l'avis de l'expert et ne peut s'en écarter que si elle a de sérieux motifs de le faire. En l'occurrence, la situation médicale du recourant a été correctement établie et ses déclarations prises en considération. Un prélèvement et des examens toxicologiques ont été réalisés. Le résultat a mis en évidence une consommation excessive d'éthanol du recourant au cours des deux à trois mois ayant précédé le prélèvement, ce qui contredit les déclarations de ce dernier. Contrairement à ce que soutient le recourant, les « autres facteurs » ont été pris en considération au cours de l'instruction par l'autorité intimée, en particulier le certificat médical qu'il a produit et sur la base duquel elle a décidé de lui restituer</w:t>
      </w:r>
    </w:p>
    <w:p>
      <w:r>
        <w:t>- 13/14 - A/2146/2024 son permis de conduire à titre provisoire par décision du 5 février 2024. A cela s'ajoute qu'il a été, à juste titre, tenu compte de ses antécédents. Enfin, le recourant qui allègue avoir besoin de son véhicule pour venir en aide à sa fille et conduire son épouse à ses rendez-vous médicaux n'a produit aucun document venant étayer ses dires, bien que le fardeau de la preuve lui incombe. Le recourant se plaint ensuite de ce que les courriers qui lui ont été adressés par l'UMPT n'indiquaient pas explicitement qu'il aurait dû cesser toute consommation d'alcool depuis le jour du retrait de son permis de conduire, ce qu'il aurait fait s'il en avait été dûment informé. Le recourant ne saurait être suivi. En effet, la teneur de la convocation du 4 mars 2024 lui recommandant vivement de continuer à respecter les recommandations relatives à sa consommation d'alcool (abstinence complète) ne saurait prêter le flanc à la critique. A cela s'ajoute que le résultat de l'analyse toxicologique conduite démontre que la consommation d'éthanol du recourant durant cette période est excessive et non pas modérée comme il l'a déclaré. Pour le surplus, il sera encore relevé que le recourant, déjà contrôlé à deux reprises pour conduite en état d'ébriété, ne pouvait pas légitimement ignorer que cette expertise serait primordiale au moment de déterminer son aptitude ou non à la conduite. Au vu de ce qui précède, le tribunal constate qu'il n'existe pas de motifs sérieux de s'écarter des conclusions motivées de l'expertise qui est circonstanciée, exhaustive et dont les conclusions sont suffisamment motivées. Enfin, le recourant soutient qu'une mesure moins incisive, à savoir un avertissement, voire le retrait de son permis pour une durée déterminée, aurait dû être ordonnée. Ici encore, le recourant ne saurait être suivi au motif que l'autorité intimée ne pouvait pas ordonner une mesure moins incisive vu l'expertise concluant à son inaptitude à la conduite, étant précisé que la décision querellée mentionne la condition à laquelle une nouvelle décision pourrait intervenir. En conclusion, le tribunal retient que l’autorité intimée n’a pas procédé à une application incorrecte de la loi ou, d’une autre manière, excédé son pouvoir d’appréciation en suivant les conclusions de l'expertise.</w:t>
      </w:r>
    </w:p>
    <w:p>
      <w:r>
        <w:rPr>
          <w:b/>
        </w:rPr>
        <w:t>E. 20</w:t>
      </w:r>
    </w:p>
    <w:p>
      <w:r>
        <w:t>Dépourvu de motif valable, le recours sera rejeté et la décision attaquée, qui ne prête pas flanc à la critique, confirmée.</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il est couvert par l’avance de frais versée à la suite du dépôt du recours. Vu l’issue du litige, aucune indemnité de procédure ne sera allouée (art. 87 al. 2 LPA).</w:t>
      </w:r>
    </w:p>
    <w:p>
      <w:r>
        <w:t>- 14/14 - A/2146/2024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