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JTAPI/1181/2021 vom 24. November 2021</w:t>
      </w:r>
    </w:p>
    <w:p>
      <w:r>
        <w:t>GE Cour de justice, 2021-11-24, FR</w:t>
      </w:r>
    </w:p>
    <w:p>
      <w:r>
        <w:rPr>
          <w:b/>
        </w:rPr>
        <w:t xml:space="preserve">Quelle: </w:t>
      </w:r>
      <w:r>
        <w:t>https://mcp.opencaselaw.ch/entscheid/ge_gerichte_JTAPI_1181_2021</w:t>
      </w:r>
    </w:p>
    <w:p>
      <w:r>
        <w:t>FR: GE_GERICHTE JTAPI/1181/2021 du 24 novembre 2021</w:t>
      </w:r>
    </w:p>
    <w:p>
      <w:r>
        <w:t>IT: GE_GERICHTE JTAPI/1181/2021 del 24 novembre 2021</w:t>
      </w:r>
    </w:p>
    <w:p>
      <w:pPr>
        <w:pStyle w:val="Heading2"/>
      </w:pPr>
      <w:r>
        <w:t>Erwägungen</w:t>
      </w:r>
    </w:p>
    <w:p>
      <w:r>
        <w:rPr>
          <w:b/>
        </w:rPr>
        <w:t>E. 1</w:t>
      </w:r>
    </w:p>
    <w:p>
      <w:r>
        <w:t>Interjeté en temps utile et dans les formes prescrites devant la juridiction compétente (art. 115 et 116 de la loi sur l’organisation judiciaire du 26 septembre 2010 - LOJ - E 2 05 ; art. 143 et 145 LCI), le recours est recevable, les recourants, en tant que voisins directs de la parcelle litigieuse, disposant de la qualité pour</w:t>
      </w:r>
    </w:p>
    <w:p>
      <w:r>
        <w:t>- 8/17 -</w:t>
      </w:r>
    </w:p>
    <w:p>
      <w:r>
        <w:t>A/291/2021 recourir (art. 57, 60 et 62 à 65 de la loi sur la procédure administrative du 12 septembre 1985 - LPA - E 5 10).</w:t>
      </w:r>
    </w:p>
    <w:p>
      <w:r>
        <w:rPr>
          <w:b/>
        </w:rPr>
        <w:t>E. 2</w:t>
      </w:r>
    </w:p>
    <w:p>
      <w:r>
        <w:t>Les arguments formulés par les parties à l'appui de leurs conclusions respectives seront repris et discutés dans la mesure utile (cf. not.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cf. not. ATA/1024/2020 du 13 octobre 2020 consid. 1 et les références citées ; ATA/386/2018 du 24 avril 2018 consid. 1b ; cf. aussi ATF 140 III 86 consid. 2 ; 138 II 331 consid. 1.3 ; 137 II 313 consid. 1.4).</w:t>
      </w:r>
    </w:p>
    <w:p>
      <w:r>
        <w:rPr>
          <w:b/>
        </w:rPr>
        <w:t>E. 3</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qui imposerait une telle mesure d'instruction (ATF 120 Ib 224 consid. 2b ; 112 Ia 198 consid. 2b ; arrêts du Tribunal fédéral 1C_243/2013 du 27 septembre 2013 consid. 3.2.1 ; 1C 61/2011 du 4 mai 2011 consid. 3.1 ; 1C_327/2009 du 5 novembre 2009 consid. 3.1 ; ATA/720/2012 du 30 octobre 2012), ce qui n'est pas le cas à Genève.</w:t>
      </w:r>
    </w:p>
    <w:p>
      <w:r>
        <w:t>- 9/17 -</w:t>
      </w:r>
    </w:p>
    <w:p>
      <w:r>
        <w:t>A/291/2021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w:t>
      </w:r>
    </w:p>
    <w:p>
      <w:r>
        <w:rPr>
          <w:b/>
        </w:rPr>
        <w:t>E. 4</w:t>
      </w:r>
    </w:p>
    <w:p>
      <w:r>
        <w:t>Les recourants sollicitent en l'occurrence l'audition des parties, un transport sur place et la mise en œuvre d'une expertise. Or, ils ne disposent pas d'un droit leur permettant d'obtenir l'accomplissement de tels actes d'instruction et ceux-ci n'apparaissent en aucune mesure nécessaires, le dossier contenant les éléments utiles permettant au tribunal de statuer sur le recours en connaissance de cause. Il n'y sera dès lors pas procédé.</w:t>
      </w:r>
    </w:p>
    <w:p>
      <w:r>
        <w:rPr>
          <w:b/>
        </w:rPr>
        <w:t>E. 5</w:t>
      </w:r>
    </w:p>
    <w:p>
      <w:r>
        <w:t>A teneur de l'art. 46C RCI, en limite de propriété, le niveau du terrain naturel doit être maintenu sur une largeur de 1 m (al. 1). Au-delà de 1 m, les aménagements extérieurs doivent s'inscrire à l'intérieur d'une ligne oblique formant un angle de 30° avec l'horizontale (al. 2). Cette disposition, entrée en vigueur le 11 novembre 2004, a repris une ancienne pratique tendant à considérer qu'un talus ne viole pas la LCI lorsqu'il est distant d'au moins un mètre de la limite des propriétés et que sa pente n'excède pas 30° (cf. ATA/582/2010 du 31 août 2010 consid. 5 ; ATA/693/2003 du 23 septembre 2003).</w:t>
      </w:r>
    </w:p>
    <w:p>
      <w:r>
        <w:rPr>
          <w:b/>
        </w:rPr>
        <w:t>E. 6</w:t>
      </w:r>
    </w:p>
    <w:p>
      <w:r>
        <w:t>La règlementation genevoise ne prévoit pas de définition explicite de la notion de « terrain naturel » et la jurisprudence genevoise en la matière n'a pas développé d'autres principes qui permettraient, dans certaines situations, d'y assimiler un terrain modifié ou aménagé. L'Accord intercantonal harmonisant la terminologie dans le domaine des constructions (AIHC) adopté en 2005 - auquel le canton de Genève n'a pas (encore) adhéré - prévoit que le terrain de référence équivaut au terrain naturel. Si celui-ci ne peut être déterminé en raison d'excavations et de remblais antérieurs, la référence est le terrain naturel environnant. Toutefois, pour des motifs liés à l'aménagement du territoire ou à l'équipement, le terrain de référence peut être déterminé différemment dans le cadre d'une procédure de planification ou d'autorisation de construire (art. 1.1 AIHC). Cette possibilité est prévue principalement pour des raisons de sécurité liées aux crues, par exemple. Certaines législations cantonales prévoient une notion plus dynamique du terrain de référence permettant de considérer, à certaines conditions, comme terrain naturel, un terrain aménagé. À titre d'exemple, la jurisprudence vaudoise concernant le terrain naturel, terme auquel se réfère également sa législation, prévoit trois conditions cumulatives pour qu'un terrain aménagé soit considéré comme « naturel ». L'apport de terre doit être intervenu de nombreuses années</w:t>
      </w:r>
    </w:p>
    <w:p>
      <w:r>
        <w:t>- 10/17 -</w:t>
      </w:r>
    </w:p>
    <w:p>
      <w:r>
        <w:t>A/291/2021 avant l'édification de la construction projetée, les travaux de remblayage ont porté sur un secteur d'une certaine étendue, afin de ne pas compromettre les intérêts des propriétaires voisins, et il faut encore que l'aménagement ne semble pas avoir été effectué en vue d'une construction à édifier à plus ou moins bref délai. Ces conditions se retrouvent en droit valaisan (cf. ATA/109/2015 du 27 janvier 2015 consid. 5c et les références citées).</w:t>
      </w:r>
    </w:p>
    <w:p>
      <w:r>
        <w:rPr>
          <w:b/>
        </w:rPr>
        <w:t>E. 7</w:t>
      </w:r>
    </w:p>
    <w:p>
      <w:r>
        <w:t>En l'occurrence, la rampe goudronnée aménagée lors de la construction des villas des recourants et de Mme BORER, devant permettre de connecter les sous-sols de ces dernières au chemin du Nantet, ne peut clairement pas être perçue comme terrain de référence équivalant au terrain naturel. Sa création a impliqué la modification dudit terrain naturel, dont le niveau correspond manifestement à celui dudit chemin et des nombreuses parcelles qui le bordent. Les photographies aériennes disponibles sur le système d'information du territoire (SITG) et sur Google Maps/Street View permettent de s'en convaincre. Dans cette mesure, cette rampe a pris place en-dessous du terrain naturel. Les aménagements litigieux, qui ont partiellement supprimé ou réduit le devers de la rampe, n'ont donc pas été réalisés au-dessus du terrain naturel. Par conséquent, aucune violation de l'art. 46C RCI ne peut être retenue, conclusion à laquelle la DAC est d'ailleurs finalement parvenue, après la production de plans plus précis, dans son second préavis.</w:t>
      </w:r>
    </w:p>
    <w:p>
      <w:r>
        <w:rPr>
          <w:b/>
        </w:rPr>
        <w:t>E. 8</w:t>
      </w:r>
    </w:p>
    <w:p>
      <w:r>
        <w:t>Selon l'art. 51 LCI (« Escaliers, dégagements et locaux commun »), figurant dans la section 7 (« Dispositions intérieures des constructions ») du chapitre V (« Dispositions communes aux quatre premières zones de construction »), également applicable à la 5ème zone (art. 78 LCI), le règlement d’application fixe, pour les différentes catégories de constructions, le mode d’éclairage et d’aération, les dimensions et toutes les autres conditions de sécurité et d’hygiène des dégagements, des escaliers, des cages d’escaliers et des locaux des services communs. A teneur de l'art. 52 RCI (« Escaliers »), applicables dans toutes les zones, la largeur minimale des escaliers et des paliers doit être 0,9 m pour les villas et les appartements en duplex et de 1,2 m pour les autres bâtiments. Des dérogations peuvent être accordées par le département s'il s'agit d'équiper une construction ancienne, au sens de l'art. 12 LCI, d'un ascenseur ou d'un monte-charge (al. 1). Toute porte parallèle au nez de la première marche d'un escalier doit être distante de 1 m au moins de celle-ci (al. 2). La pente d'un escalier ne peut excéder 35° (al. 3). Les escaliers doivent être munis d'une main courante. Les escaliers de plus de 2 m de large doivent être munis de deux mains courantes. Ceux de plus de 3 m de large doivent en outre être pourvus, sur demande du département, d'une main courante en leur milieu (al. 4). Par analogie, les dispositions de l'art. 50 RCI relatives à la hauteur des garde-corps s'appliquent aux mains courantes (al. 6). Les escaliers d'une largeur de 70 cm et avec une pente de 45° maximum peuvent être</w:t>
      </w:r>
    </w:p>
    <w:p>
      <w:r>
        <w:t>- 11/17 -</w:t>
      </w:r>
    </w:p>
    <w:p>
      <w:r>
        <w:t>A/291/2021 exceptionnellement admis pour l'accès à des locaux considérés comme secondaires, tels que grenier ou mezzanine (al. 7).</w:t>
      </w:r>
    </w:p>
    <w:p>
      <w:r>
        <w:rPr>
          <w:b/>
        </w:rPr>
        <w:t>E. 9</w:t>
      </w:r>
    </w:p>
    <w:p>
      <w:r>
        <w:t>Ces dispositions ne visent ainsi que les escaliers situés à l'intérieur des bâtiments. Elles ne trouvent donc pas application aux escaliers aménagés, comme en l'espèce, dans des jardins. Les griefs des recourants tirés de la violation de l'art. 52 RCI peuvent donc être écartés sans autre examen.</w:t>
      </w:r>
    </w:p>
    <w:p>
      <w:r>
        <w:rPr>
          <w:b/>
        </w:rPr>
        <w:t>E. 10</w:t>
      </w:r>
    </w:p>
    <w:p>
      <w:r>
        <w:t>L'art. 14 al. 1 LCI prévoit que le DT peut refuser une autorisation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(ATA/811/2021 du 10 août 2021 consid. 6 ; ATA/448/2021 du 27 avril 2021 consid. 8a ; ATA/259/2020 du 3 mars 2020 consid. 7a ; ATA/1273/2017 du 12 septembre 2017 consid. 16c ; ATA/284/2016 du 5 avril 2016 consid. 9b ;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(ATA/811/2021 du 10 août 2021 consid. 6 ; ATA/448/2021 du 27 avril 2021 consid. 8a ; ATA/259/2020 du 3 mars 2020 consid. 7a ; ATA/165/2018 du 20 février 2018 consid. 4a).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rPr>
          <w:b/>
        </w:rPr>
        <w:t>E. 11</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DT ne s'est pas écarté sans motif prépondérant et dûment établi du préavis de l'autorité technique consultative, composée de spécialistes capables d'émettre un jugement dépourvu de subjectivisme et de considérations</w:t>
      </w:r>
    </w:p>
    <w:p>
      <w:r>
        <w:t>- 12/17 -</w:t>
      </w:r>
    </w:p>
    <w:p>
      <w:r>
        <w:t>A/291/2021 étrangères aux buts de protection fixés par la loi (cf. ATA/896/2021 du 31 août 2021 consid. 4d ; ATA/155/2021 du 9 février 2021 consid. 7c et 10e ; ATA/1311/2020 du 15 décembre 2020 consid. 7d ; ATA/724/2020 du 4 août 2020 consid. 3e ; ATA/1098/2019 du 25 juin 2019 consid. 2e).</w:t>
      </w:r>
    </w:p>
    <w:p>
      <w:r>
        <w:rPr>
          <w:b/>
        </w:rPr>
        <w:t>E. 12</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celui-ci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 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de subventions et d'utilisation du sol (ATA/896/2021 du 31 août 2021 consid. 4b ; ATA/155/2021 du 9 février 2021 consid. 6b ; ATA/1311/2020 du 15 décembre 2020 consid. 7c ; ATA/1274/2017 du 12 septembre 2017 consid. 6 et la jurisprudence citée).</w:t>
      </w:r>
    </w:p>
    <w:p>
      <w:r>
        <w:rPr>
          <w:b/>
        </w:rPr>
        <w:t>E. 13</w:t>
      </w:r>
    </w:p>
    <w:p>
      <w:r>
        <w:t>En l'espèce : a) S'agissant de la question de l'écoulement des eaux pluviales, l'OCEau, instance spécialisée dans le domaine, a dûment examiné le projet. Au terme de son analyse, à laquelle il a procédé à deux reprises, il a émis un préavis favorable, qu'il a subordonné à la condition - reprise dans l'autorisation querellée - que ces eaux, qui seraient probablement écoulées sur le sol et infiltrées dans le jardin nouvellement créé, ne devraient en aucun cas gêner le voisinage ou être dirigées vers le domaine public, auquel cas une demande complémentaire devrait être adressée à l'office des autorisations de construire en vue de la création d'un raccordement. Il est donc parti du principe que les aménagements en cause n'engendraient pas a priori un risque particulier pour la parcelle des recourants. L'autorisation délivrée à Mme BORER contient donc une condition quant à la mise en œuvre du projet, prenant en compte les craintes des recourants et</w:t>
      </w:r>
    </w:p>
    <w:p>
      <w:r>
        <w:t>- 13/17 -</w:t>
      </w:r>
    </w:p>
    <w:p>
      <w:r>
        <w:t>A/291/2021 susceptibles d'y apporter une réponse. Or, il ne saurait être considéré comme établi, à ce stade, que l'éventualité prise en compte par cette condition serait concrète. Les recourants ne le démontrent pas, étant souligné, d'une part, que des problèmes d'inondation avaient été constatés avant la réalisation des travaux litigieux, dont les causes, étrangères à ceux-ci, ont été identifiées (configuration des lieux et sous-dimensionnement des collecteurs communaux), et, d'autre part, que le (seul) épisode d'inondation dont ils font état et qu'ils entendent imputer à ces derniers se rapporte à un événement orageux tout à fait exceptionnel ayant causé des dégâts similaires à de très nombreux endroits du canton. S'ils devaient constater d'autres dégâts d'eau et établir un lien de causalité entre ceux-ci et les aménagements litigieux, il leur sera loisible de saisir le DT, afin que, le cas échéant, il ordonne à Mme BORER de requérir la délivrance d'une autorisation complémentaire en vue de la création d'un raccordement. Cela étant, il n'apparaît pas qu'en suivant le préavis favorable de l'OCEau, le DT se serait fondé sur des critères et considérations dénués de pertinence et étrangers au but visé par la réglementation en vigueur. Dans ces conditions, le tribunal, qui doit faire preuve de retenue et respecter la latitude de jugement conférée à l'autorité de décision, s'agissant d'un domaine faisant appel à des connaissances techniques, ne saurait en corriger le résultat, en l'occurrence tout à fait défendable, en fonction d'une autre conception, sauf à statuer en opportunité, ce que la loi lui interdit de faire (art. 61 al. 2 LPA). Eu égard au lien direct que ces questions entretiennent avec des aspects techniques, il convient ainsi de s'en remettre à l'avis de l'instance spécialisée, qui a préavisé favorablement le projet. Il découle de ce qui précède que ce grief des recourants tiré de la violation de l'art. 14 al. 1 let. a LCI doit être écartés. b) S'agissant de l'éventuel impact des aménagements sur la circulation sur le chemin du Nantet, l'OCT, instance spécialisée en la matière, a lui aussi examiné le projet et s'est déclaré favorable, à la condition, qui apparaît avoir été respectée, qu'aucune végétation susceptible de péjorer les conditions de visibilité au niveau des débouchés sur ledit chemin soit implantée à l'arrière de la barrière installée en limite de la parcelle n° 7045. Les mêmes motifs que ceux énoncés plus haut conduisent à écarter le grief des recourants tirés de l'art. 14 al. 1 let. e LCI. La photographie reproduite à la page 14 de la réponse au recours de Mme BORER permet au demeurant de constater que les travaux litigieux n'ont manifestement pas eu pour effet de péjorer les conditions de visibilité au sortir de la rampe attenante à la villa des recourants. Pour le surplus, comme le relèvent à juste titre tant le DT que Mme BORER, les recourants ne disposent d'aucun droit réel (ou de tout accord de droit privé) leur permettant d'exiger un champ libre de manœuvre sur la parcelle de cette dernière. Une telle question échapperait quoi qu'il en soit au pouvoir d'examen du tribunal</w:t>
      </w:r>
    </w:p>
    <w:p>
      <w:r>
        <w:t>- 14/17 -</w:t>
      </w:r>
    </w:p>
    <w:p>
      <w:r>
        <w:t>A/291/2021 (cf. not. arrêts du Tribunal fédéral 1C_413/2019 du 24 mars 2020 consid. 7.1 et les références citées ; 1C_416/2012 du 6 décembre 2012 consid. 5 in fine ; ATA/638/2015 du 16 juin 2015 ; ATA/752/2014 du 23 septembre 2014 consid. 7c ; ATA/900/2010 du 21 décembre 2010 ; ATA/457/2010 du 29 juin 2010). En effet, il n'appartient pas à l'administration de s'immiscer dans les conflits de droit privé pouvant s'élever entre un requérant et des opposants, la législation genevoise en matière de police des constructions ayant pour seul but d'assurer la conformité des projets présentés aux prescriptions en matière de constructions et d'aménagements, intérieurs et extérieurs, des bâtiments et des installations (cf. art. 3 al. 6 LCI ; cf. not. ATA/169/2020 du 11 février 2020 consid. 7b ; ATA/1724/2019 du 26 novembre 2019 consid. 8e ; ATA/97/2019 du 29 janvier 2019 consid. 5 ; ATA/517/2018 du 29 mai 2018 consid. 5g ; ATA/166/2018 du 20 février 2018 consid. 5 et les arrêts cités ; cf. aussi arrêt du Tribunal fédéral 1C_413/2019 du 24 mars 2020 consid. 7.1 et les références citées ; 1C_416/2012 du 6 décembre 2012 consid. 5 in fine).</w:t>
      </w:r>
    </w:p>
    <w:p>
      <w:r>
        <w:rPr>
          <w:b/>
        </w:rPr>
        <w:t>E. 14</w:t>
      </w:r>
    </w:p>
    <w:p>
      <w:r>
        <w:t>Selon l'art. 4 al. 1 LCR, il est interdit de créer, sans motifs impérieux, des obstacles à la circulation ; ils doivent être signalés de façon suffisante et seront supprimés aussi tôt que possible. En l'occurrence, cette disposition n'a pas de portée, dans la mesure où les aménagements litigieux prennent exclusivement place sur la parcelle de Mme BORER et ne créent aucun obstacle sur le chemin du Nantet.</w:t>
      </w:r>
    </w:p>
    <w:p>
      <w:r>
        <w:rPr>
          <w:b/>
        </w:rPr>
        <w:t>E. 15</w:t>
      </w:r>
    </w:p>
    <w:p>
      <w:r>
        <w:t>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 Une construction, une installation et, d’une manière générale, toute chose doit être maintenue en tel état et utilisée de telle sorte qu'elle ne crée pas, par sa nature, sa situation ou le trafic que provoque sa destination ou son exploitation, un danger ou une gêne pour la circulation (art. 121 al. 3 let. b LCI). Les propriétaires sont responsables, dans l’application de la LCI et sous réserve des droits civils, de la sécurité et de la salubrité des constructions et installation (art. 122 LCI). Dans ce cadre, conformément à l'art. 129 LCI, et dans les limites des dispositions de l'art. 130 LCI, le DT, chargé de l'application de la LCI et de ses dispositions d'application (cf. art. 1 al. 6 LCI), peut notamment ordonner, à l'égard des constructions, des installations ou d'autres choses, l'évacuation, le retrait du permis d'occupation, l'interdiction d'utiliser ou d'exploiter et la remise en état, ainsi que la réparation, la modification, la suppression ou la démolition. Ces mesures peuvent être ordonnées lorsque l'état d'une construction, d'une installation</w:t>
      </w:r>
    </w:p>
    <w:p>
      <w:r>
        <w:t>- 15/17 -</w:t>
      </w:r>
    </w:p>
    <w:p>
      <w:r>
        <w:t>A/291/2021 ou d'une autre chose n'est pas conforme aux prescriptions de la loi, des règlements qu'elle prévoit ou des autorisations délivrées en application de ces dispositions légales ou réglementaires (art. 130 LCI).</w:t>
      </w:r>
    </w:p>
    <w:p>
      <w:r>
        <w:rPr>
          <w:b/>
        </w:rPr>
        <w:t>E. 16</w:t>
      </w:r>
    </w:p>
    <w:p>
      <w:r>
        <w:t>En l'occurrence, ces dispositions n'ont pas de portée à ce stade, puisqu'elles visent l'usage qui sera fait des aménagements en cause. Il convient en effet de ne pas confondre les nuisances et autres inconvénients inhérents à la construction elle- même de ceux susceptibles de résulter de l'usage qui en sera fait, lequel devra être conforme à l'autorisation délivrée, y compris les conditions qu'elle contient. Partant, s'il doit être constaté que les aménagements litigieux ne sont pas réalisés dans le respect de l'autorisation querellée ou que leur exploitation génère des nuisances dépassant ce qui est admissible, le DT sera fondé à prendre d'éventuelles mesures, sur la base d'un constat concret effectué lors d'une inspection locale, pour y remédier (cf. arrêt du Tribunal fédéral 1A.322/2000 du 1er juin 2001 consid. 3d ; ATA/1050/2016 du 13 décembre 2016 consid. 3c), cette problématique échappant à l'examen susceptible d'être opéré par le tribunal dans le cadre du présent recours, qui a seulement pour seul but d'assurer la conformité des projets présentés aux prescriptions en matière de constructions et d'aménagements, intérieurs et extérieurs, des bâtiments et des installations (cf. not. ATA/638/2015 du 16 juin 2015 consid. 3). Il en résulte que les recourants ne peuvent rien tirer de l'art. 121 al. 3 let. b LCI. Enfin, la question du parking illicite dont ces derniers font état, qui les gênerait dans leurs manœuvres pour quitter leur parcelle en voiture depuis leur rampe, excède le cadre du litige. Elle n'est en rien liée à la décision attaquée, étant souligné que les véhicules parqués sur la voie publique en un lieu interdit ou gênant la circulation peuvent être enlevés, saisis ou mis en fourrière (cf. art. 11 let. c et f de la loi d'application de la législation fédérale sur la circulation routière du 18 décembre 1987 - LaLCR - H 1 05), le prononcé de telles mesures échappant naturellement à la compétence tant du DT que du tribunal.</w:t>
      </w:r>
    </w:p>
    <w:p>
      <w:r>
        <w:rPr>
          <w:b/>
        </w:rPr>
        <w:t>E. 17</w:t>
      </w:r>
    </w:p>
    <w:p>
      <w:r>
        <w:t>Compte tenu de ce qui précède, le recours, mal fondé, sera rejeté.</w:t>
      </w:r>
    </w:p>
    <w:p>
      <w:r>
        <w:rPr>
          <w:b/>
        </w:rPr>
        <w:t>E. 18</w:t>
      </w:r>
    </w:p>
    <w:p>
      <w:r>
        <w:t>Vu cette issue, un émolument de CHF 900.- sera mis à la charge des recourants, qui succombent (art. 87 al. 1 et 3 LPA ; art. 1 s. du règlement sur les frais, émoluments et indemnités en procédure administrative du 30 juillet 1986 - RFPA - E 5 10.03). Une indemnité de procédure de CHF 2'000.- sera allouée à Mme BORER, qui obtient gain de cause, à la charge des recourants, comprenant une participation aux honoraires d'avocat qu'il lui a fallu engager dans le cadre de la présente cause (art. 87 al. 2 LPA et 6 RFPA ; cf. aussi à ce sujet not. ATA/1113/2019 du</w:t>
      </w:r>
    </w:p>
    <w:p>
      <w:r>
        <w:t>- 16/17 -</w:t>
      </w:r>
    </w:p>
    <w:p>
      <w:r>
        <w:t>A/291/2021 1er juillet 2019 consid. 3c ; ATA/1089/2016 du 20 décembre 2016 consid. 12h ; ATA/897/2015 du 1er septembre 2015 consid. 4b).</w:t>
      </w:r>
    </w:p>
    <w:p>
      <w:r>
        <w:t>- 17/17 -</w:t>
      </w:r>
    </w:p>
    <w:p>
      <w:r>
        <w:t>A/291/2021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